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219E4" w14:textId="77777777" w:rsidR="00B948C8" w:rsidRDefault="005243DA" w:rsidP="00AE106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56A63">
        <w:rPr>
          <w:rFonts w:ascii="Arial" w:hAnsi="Arial" w:cs="Arial"/>
          <w:b/>
          <w:sz w:val="28"/>
          <w:szCs w:val="28"/>
        </w:rPr>
        <w:t>Recruitment Authorisation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948C8">
        <w:rPr>
          <w:rFonts w:ascii="Arial" w:hAnsi="Arial" w:cs="Arial"/>
          <w:b/>
          <w:sz w:val="28"/>
          <w:szCs w:val="28"/>
        </w:rPr>
        <w:t xml:space="preserve">Policy </w:t>
      </w:r>
    </w:p>
    <w:p w14:paraId="4B63F0B8" w14:textId="7D6DA11A" w:rsidR="005243DA" w:rsidRDefault="00B948C8" w:rsidP="00AE10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(</w:t>
      </w:r>
      <w:r w:rsidRPr="00B948C8">
        <w:rPr>
          <w:rFonts w:ascii="Arial" w:hAnsi="Arial" w:cs="Arial"/>
          <w:b/>
        </w:rPr>
        <w:t>Princi</w:t>
      </w:r>
      <w:r>
        <w:rPr>
          <w:rFonts w:ascii="Arial" w:hAnsi="Arial" w:cs="Arial"/>
          <w:b/>
        </w:rPr>
        <w:t xml:space="preserve">pal’s </w:t>
      </w:r>
      <w:r w:rsidRPr="00B948C8">
        <w:rPr>
          <w:rFonts w:ascii="Arial" w:hAnsi="Arial" w:cs="Arial"/>
          <w:b/>
        </w:rPr>
        <w:t xml:space="preserve">Advisory Group </w:t>
      </w:r>
      <w:r>
        <w:rPr>
          <w:rFonts w:ascii="Arial" w:hAnsi="Arial" w:cs="Arial"/>
          <w:b/>
        </w:rPr>
        <w:t>(PAG) Auth</w:t>
      </w:r>
      <w:r w:rsidRPr="00B948C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rised</w:t>
      </w:r>
      <w:r w:rsidRPr="00B948C8">
        <w:rPr>
          <w:rFonts w:ascii="Arial" w:hAnsi="Arial" w:cs="Arial"/>
          <w:b/>
        </w:rPr>
        <w:t xml:space="preserve"> 14 November 2022</w:t>
      </w:r>
      <w:r w:rsidR="0043352C">
        <w:rPr>
          <w:rFonts w:ascii="Arial" w:hAnsi="Arial" w:cs="Arial"/>
          <w:b/>
          <w:sz w:val="24"/>
          <w:szCs w:val="24"/>
        </w:rPr>
        <w:t>)</w:t>
      </w:r>
    </w:p>
    <w:p w14:paraId="6AC8BEF2" w14:textId="32524193" w:rsidR="00B948C8" w:rsidRDefault="00B948C8" w:rsidP="00AE10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73A6D1" w14:textId="77330CAA" w:rsidR="00B948C8" w:rsidRDefault="00B64293" w:rsidP="00AE10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Effective Immediately</w:t>
      </w:r>
    </w:p>
    <w:p w14:paraId="4A2EF8BD" w14:textId="38E9AD26" w:rsidR="00B948C8" w:rsidRDefault="00B948C8" w:rsidP="00AE10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the exceptions detailed below, Heads of </w:t>
      </w:r>
      <w:r w:rsidR="00290F56">
        <w:rPr>
          <w:rFonts w:ascii="Arial" w:hAnsi="Arial" w:cs="Arial"/>
        </w:rPr>
        <w:t>Department (</w:t>
      </w:r>
      <w:r>
        <w:rPr>
          <w:rFonts w:ascii="Arial" w:hAnsi="Arial" w:cs="Arial"/>
        </w:rPr>
        <w:t xml:space="preserve">#) are </w:t>
      </w:r>
      <w:r w:rsidR="00435FD3">
        <w:rPr>
          <w:rFonts w:ascii="Arial" w:hAnsi="Arial" w:cs="Arial"/>
        </w:rPr>
        <w:t xml:space="preserve">authorised </w:t>
      </w:r>
      <w:r>
        <w:rPr>
          <w:rFonts w:ascii="Arial" w:hAnsi="Arial" w:cs="Arial"/>
        </w:rPr>
        <w:t xml:space="preserve">to </w:t>
      </w:r>
      <w:r w:rsidR="00290F56">
        <w:rPr>
          <w:rFonts w:ascii="Arial" w:hAnsi="Arial" w:cs="Arial"/>
        </w:rPr>
        <w:t>sign</w:t>
      </w:r>
      <w:r>
        <w:rPr>
          <w:rFonts w:ascii="Arial" w:hAnsi="Arial" w:cs="Arial"/>
        </w:rPr>
        <w:t xml:space="preserve">-off all recruitment and resourcing needs that are </w:t>
      </w:r>
      <w:r w:rsidRPr="00435FD3">
        <w:rPr>
          <w:rFonts w:ascii="Arial" w:hAnsi="Arial" w:cs="Arial"/>
          <w:b/>
          <w:bCs/>
        </w:rPr>
        <w:t>within staff budget</w:t>
      </w:r>
      <w:r>
        <w:rPr>
          <w:rFonts w:ascii="Arial" w:hAnsi="Arial" w:cs="Arial"/>
        </w:rPr>
        <w:t>.</w:t>
      </w:r>
    </w:p>
    <w:p w14:paraId="0C13D777" w14:textId="703DA919" w:rsidR="00B948C8" w:rsidRDefault="00B948C8" w:rsidP="00AE106A">
      <w:pPr>
        <w:spacing w:after="0" w:line="240" w:lineRule="auto"/>
        <w:rPr>
          <w:rFonts w:ascii="Arial" w:hAnsi="Arial" w:cs="Arial"/>
        </w:rPr>
      </w:pPr>
    </w:p>
    <w:p w14:paraId="088D1F1E" w14:textId="2A3D2BC0" w:rsidR="00B948C8" w:rsidRPr="00B64293" w:rsidRDefault="00B948C8" w:rsidP="00AE106A">
      <w:pPr>
        <w:spacing w:after="0" w:line="240" w:lineRule="auto"/>
        <w:rPr>
          <w:rFonts w:ascii="Arial" w:hAnsi="Arial" w:cs="Arial"/>
          <w:b/>
        </w:rPr>
      </w:pPr>
      <w:r w:rsidRPr="00B64293">
        <w:rPr>
          <w:rFonts w:ascii="Arial" w:hAnsi="Arial" w:cs="Arial"/>
          <w:b/>
        </w:rPr>
        <w:t>Exceptions</w:t>
      </w:r>
    </w:p>
    <w:p w14:paraId="655AA767" w14:textId="6BA82659" w:rsidR="00B948C8" w:rsidRDefault="00B948C8" w:rsidP="00B948C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New roles outside budget</w:t>
      </w:r>
    </w:p>
    <w:p w14:paraId="06F2247B" w14:textId="14EE3DBA" w:rsidR="00B948C8" w:rsidRDefault="00B948C8" w:rsidP="00FF7D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B64293">
        <w:rPr>
          <w:rFonts w:ascii="Arial" w:hAnsi="Arial" w:cs="Arial"/>
        </w:rPr>
        <w:t>Grades 8 and 9</w:t>
      </w:r>
      <w:r w:rsidR="00435FD3">
        <w:rPr>
          <w:rFonts w:ascii="Arial" w:hAnsi="Arial" w:cs="Arial"/>
        </w:rPr>
        <w:t xml:space="preserve"> roles:- </w:t>
      </w:r>
      <w:r w:rsidR="00B64293">
        <w:rPr>
          <w:rFonts w:ascii="Arial" w:hAnsi="Arial" w:cs="Arial"/>
        </w:rPr>
        <w:t xml:space="preserve">all </w:t>
      </w:r>
      <w:r w:rsidR="00290F56">
        <w:rPr>
          <w:rFonts w:ascii="Arial" w:hAnsi="Arial" w:cs="Arial"/>
        </w:rPr>
        <w:t>replacements</w:t>
      </w:r>
      <w:r w:rsidR="00B64293">
        <w:rPr>
          <w:rFonts w:ascii="Arial" w:hAnsi="Arial" w:cs="Arial"/>
        </w:rPr>
        <w:t xml:space="preserve"> and new positions, inside or outside budget</w:t>
      </w:r>
    </w:p>
    <w:p w14:paraId="69DF99FE" w14:textId="6EA6AAB7" w:rsidR="00B64293" w:rsidRPr="00B64293" w:rsidRDefault="00B64293" w:rsidP="00FF7DA5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Grade 7 academic repla</w:t>
      </w:r>
      <w:r w:rsidR="00290F56">
        <w:rPr>
          <w:rFonts w:ascii="Arial" w:hAnsi="Arial" w:cs="Arial"/>
        </w:rPr>
        <w:t>ce</w:t>
      </w:r>
      <w:r>
        <w:rPr>
          <w:rFonts w:ascii="Arial" w:hAnsi="Arial" w:cs="Arial"/>
        </w:rPr>
        <w:t xml:space="preserve">ments (where there is a </w:t>
      </w:r>
      <w:r w:rsidR="00290F56">
        <w:rPr>
          <w:rFonts w:ascii="Arial" w:hAnsi="Arial" w:cs="Arial"/>
        </w:rPr>
        <w:t>distinct</w:t>
      </w:r>
      <w:r>
        <w:rPr>
          <w:rFonts w:ascii="Arial" w:hAnsi="Arial" w:cs="Arial"/>
        </w:rPr>
        <w:t xml:space="preserve"> </w:t>
      </w:r>
      <w:r w:rsidR="00290F56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in </w:t>
      </w:r>
      <w:r w:rsidR="00290F56">
        <w:rPr>
          <w:rFonts w:ascii="Arial" w:hAnsi="Arial" w:cs="Arial"/>
        </w:rPr>
        <w:t>focus</w:t>
      </w:r>
      <w:r>
        <w:rPr>
          <w:rFonts w:ascii="Arial" w:hAnsi="Arial" w:cs="Arial"/>
        </w:rPr>
        <w:t xml:space="preserve"> of the role)</w:t>
      </w:r>
    </w:p>
    <w:p w14:paraId="2806E13E" w14:textId="6AE59A21" w:rsidR="00B948C8" w:rsidRDefault="00B948C8" w:rsidP="00AE106A">
      <w:pPr>
        <w:spacing w:after="0" w:line="240" w:lineRule="auto"/>
        <w:rPr>
          <w:rFonts w:ascii="Arial" w:hAnsi="Arial" w:cs="Arial"/>
        </w:rPr>
      </w:pPr>
    </w:p>
    <w:p w14:paraId="09C0EFFB" w14:textId="0545A46C" w:rsidR="00B64293" w:rsidRDefault="00B64293" w:rsidP="00AE10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those roles which fall into the exception category, the PAG </w:t>
      </w:r>
      <w:r w:rsidRPr="002E2FD2">
        <w:rPr>
          <w:rFonts w:ascii="Arial" w:hAnsi="Arial" w:cs="Arial"/>
          <w:i/>
        </w:rPr>
        <w:t xml:space="preserve">request to proceed to resource approval </w:t>
      </w:r>
      <w:r w:rsidR="002E2FD2">
        <w:rPr>
          <w:rFonts w:ascii="Arial" w:hAnsi="Arial" w:cs="Arial"/>
          <w:i/>
        </w:rPr>
        <w:t>table</w:t>
      </w:r>
      <w:r>
        <w:rPr>
          <w:rFonts w:ascii="Arial" w:hAnsi="Arial" w:cs="Arial"/>
        </w:rPr>
        <w:t xml:space="preserve"> should be completed and forwarded to the </w:t>
      </w:r>
      <w:r w:rsidR="00290F56">
        <w:rPr>
          <w:rFonts w:ascii="Arial" w:hAnsi="Arial" w:cs="Arial"/>
        </w:rPr>
        <w:t>Principal’s</w:t>
      </w:r>
      <w:r>
        <w:rPr>
          <w:rFonts w:ascii="Arial" w:hAnsi="Arial" w:cs="Arial"/>
        </w:rPr>
        <w:t xml:space="preserve">’ executive assistant to be </w:t>
      </w:r>
      <w:r w:rsidR="00290F56">
        <w:rPr>
          <w:rFonts w:ascii="Arial" w:hAnsi="Arial" w:cs="Arial"/>
        </w:rPr>
        <w:t>included</w:t>
      </w:r>
      <w:r>
        <w:rPr>
          <w:rFonts w:ascii="Arial" w:hAnsi="Arial" w:cs="Arial"/>
        </w:rPr>
        <w:t xml:space="preserve"> for discussion at the next PAG Meeting.  </w:t>
      </w:r>
      <w:r w:rsidR="00290F56">
        <w:rPr>
          <w:rFonts w:ascii="Arial" w:hAnsi="Arial" w:cs="Arial"/>
        </w:rPr>
        <w:t>Roles</w:t>
      </w:r>
      <w:r>
        <w:rPr>
          <w:rFonts w:ascii="Arial" w:hAnsi="Arial" w:cs="Arial"/>
        </w:rPr>
        <w:t xml:space="preserve"> approved will be communicated to HR and Finance and the appropriate staff request forms can be </w:t>
      </w:r>
      <w:r w:rsidR="00290F56">
        <w:rPr>
          <w:rFonts w:ascii="Arial" w:hAnsi="Arial" w:cs="Arial"/>
        </w:rPr>
        <w:t>authorised</w:t>
      </w:r>
      <w:r>
        <w:rPr>
          <w:rFonts w:ascii="Arial" w:hAnsi="Arial" w:cs="Arial"/>
        </w:rPr>
        <w:t xml:space="preserve"> to proceed.</w:t>
      </w:r>
    </w:p>
    <w:p w14:paraId="5CE5CB74" w14:textId="3E64EFCD" w:rsidR="00B64293" w:rsidRDefault="00B64293" w:rsidP="00AE106A">
      <w:pPr>
        <w:spacing w:after="0" w:line="240" w:lineRule="auto"/>
        <w:rPr>
          <w:rFonts w:ascii="Arial" w:hAnsi="Arial" w:cs="Arial"/>
        </w:rPr>
      </w:pPr>
    </w:p>
    <w:tbl>
      <w:tblPr>
        <w:tblpPr w:leftFromText="186" w:rightFromText="186" w:bottomFromText="160" w:vertAnchor="text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"/>
        <w:gridCol w:w="540"/>
        <w:gridCol w:w="1800"/>
        <w:gridCol w:w="771"/>
        <w:gridCol w:w="1199"/>
        <w:gridCol w:w="1360"/>
        <w:gridCol w:w="2554"/>
      </w:tblGrid>
      <w:tr w:rsidR="00B64293" w:rsidRPr="00666437" w14:paraId="3EF66FAC" w14:textId="77777777" w:rsidTr="00BC66BD">
        <w:tc>
          <w:tcPr>
            <w:tcW w:w="92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1A0E6" w14:textId="77777777" w:rsidR="00B64293" w:rsidRPr="00666437" w:rsidRDefault="00B64293" w:rsidP="00BC66BD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66643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Principals Advisory Group  (PAG)– Request to Proceed to Resource – Approval Form </w:t>
            </w:r>
          </w:p>
        </w:tc>
      </w:tr>
      <w:tr w:rsidR="00B64293" w:rsidRPr="00666437" w14:paraId="3C84A3FC" w14:textId="77777777" w:rsidTr="00BC66BD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6E457" w14:textId="77777777" w:rsidR="00B64293" w:rsidRPr="00666437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66643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Position</w:t>
            </w:r>
          </w:p>
          <w:p w14:paraId="6212A2B0" w14:textId="77777777" w:rsidR="00B64293" w:rsidRPr="00666437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666437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{Job Role and Grade}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825E8" w14:textId="77777777" w:rsidR="00B64293" w:rsidRPr="00666437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66643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FTE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32BAA" w14:textId="77777777" w:rsidR="00B64293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6643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Permanent (P), Fixed-Term (FT), </w:t>
            </w:r>
          </w:p>
          <w:p w14:paraId="593F18A9" w14:textId="77777777" w:rsidR="00B64293" w:rsidRPr="00666437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Casual (C)</w:t>
            </w:r>
          </w:p>
          <w:p w14:paraId="64A1E7A1" w14:textId="77777777" w:rsidR="00B64293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6643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Agency (A), </w:t>
            </w:r>
          </w:p>
          <w:p w14:paraId="323FFC55" w14:textId="77777777" w:rsidR="00B64293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66643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Contractor (C</w:t>
            </w:r>
            <w: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T</w:t>
            </w:r>
            <w:r w:rsidRPr="0066643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 xml:space="preserve">), </w:t>
            </w:r>
          </w:p>
          <w:p w14:paraId="5BC0117C" w14:textId="77777777" w:rsidR="00B64293" w:rsidRPr="00666437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666437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Occ worker (OW)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B9C42" w14:textId="77777777" w:rsidR="00B64293" w:rsidRPr="00666437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66643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New (N) or replacement (R)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6847E" w14:textId="77777777" w:rsidR="00B64293" w:rsidRPr="00666437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66643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Annual salary</w:t>
            </w:r>
            <w:r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/cost</w:t>
            </w:r>
          </w:p>
          <w:p w14:paraId="03259AA3" w14:textId="77777777" w:rsidR="00B64293" w:rsidRPr="00666437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666437">
              <w:rPr>
                <w:rFonts w:ascii="Calibri" w:eastAsia="Calibri" w:hAnsi="Calibri" w:cs="Times New Roman"/>
                <w:sz w:val="18"/>
                <w:szCs w:val="18"/>
              </w:rPr>
              <w:t xml:space="preserve">(incl. London Weighting)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A0FEB" w14:textId="77777777" w:rsidR="00B64293" w:rsidRPr="00666437" w:rsidRDefault="00B64293" w:rsidP="00BC66BD">
            <w:pPr>
              <w:spacing w:after="0" w:line="256" w:lineRule="auto"/>
              <w:ind w:left="-100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66643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 xml:space="preserve">Previous incumbent </w:t>
            </w:r>
            <w:r w:rsidRPr="00666437">
              <w:rPr>
                <w:rFonts w:ascii="Calibri" w:eastAsia="Calibri" w:hAnsi="Calibri" w:cs="Times New Roman"/>
                <w:sz w:val="18"/>
                <w:szCs w:val="18"/>
              </w:rPr>
              <w:t>(if applicable)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186C3" w14:textId="77777777" w:rsidR="00B64293" w:rsidRPr="00666437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66643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Rationale</w:t>
            </w:r>
          </w:p>
          <w:p w14:paraId="560BAFE5" w14:textId="77777777" w:rsidR="00B64293" w:rsidRPr="00666437" w:rsidRDefault="00B64293" w:rsidP="00BC66BD">
            <w:pPr>
              <w:spacing w:after="0" w:line="256" w:lineRule="auto"/>
              <w:ind w:left="-80" w:right="-70"/>
              <w:jc w:val="center"/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</w:pPr>
            <w:r w:rsidRPr="00666437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{Why is the role business critical at this time?</w:t>
            </w:r>
          </w:p>
          <w:p w14:paraId="1967C1DB" w14:textId="77777777" w:rsidR="00B64293" w:rsidRPr="00666437" w:rsidRDefault="00B64293" w:rsidP="00BC66BD">
            <w:pPr>
              <w:spacing w:after="0" w:line="256" w:lineRule="auto"/>
              <w:ind w:left="-80" w:right="-70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666437">
              <w:rPr>
                <w:rFonts w:ascii="Calibri" w:eastAsia="Calibri" w:hAnsi="Calibri" w:cs="Times New Roman"/>
                <w:i/>
                <w:iCs/>
                <w:sz w:val="18"/>
                <w:szCs w:val="18"/>
              </w:rPr>
              <w:t>Has consideration been given to redeployment from elsewhere to cover this role?}</w:t>
            </w:r>
          </w:p>
        </w:tc>
      </w:tr>
      <w:tr w:rsidR="00B64293" w:rsidRPr="00666437" w14:paraId="7CCD9897" w14:textId="77777777" w:rsidTr="00BC66BD">
        <w:tc>
          <w:tcPr>
            <w:tcW w:w="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3C194" w14:textId="77777777" w:rsidR="00B64293" w:rsidRDefault="00B64293" w:rsidP="00BC66BD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A762C1A" w14:textId="77777777" w:rsidR="00B64293" w:rsidRDefault="00B64293" w:rsidP="00BC66BD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286930C" w14:textId="77777777" w:rsidR="00B64293" w:rsidRPr="00666437" w:rsidRDefault="00B64293" w:rsidP="00BC66BD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416A4" w14:textId="77777777" w:rsidR="00B64293" w:rsidRPr="00666437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55EFB" w14:textId="77777777" w:rsidR="00B64293" w:rsidRPr="00666437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98F03" w14:textId="77777777" w:rsidR="00B64293" w:rsidRPr="00666437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03909" w14:textId="77777777" w:rsidR="00B64293" w:rsidRPr="00666437" w:rsidRDefault="00B64293" w:rsidP="00BC66BD">
            <w:pPr>
              <w:spacing w:after="0" w:line="256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8EB08" w14:textId="77777777" w:rsidR="00B64293" w:rsidRPr="00666437" w:rsidRDefault="00B64293" w:rsidP="00BC66BD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D66CD" w14:textId="77777777" w:rsidR="00B64293" w:rsidRPr="00666437" w:rsidRDefault="00B64293" w:rsidP="00BC66BD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415064A3" w14:textId="77777777" w:rsidR="00B64293" w:rsidRDefault="00B64293" w:rsidP="00AE106A">
      <w:pPr>
        <w:spacing w:after="0" w:line="240" w:lineRule="auto"/>
        <w:rPr>
          <w:rFonts w:ascii="Arial" w:hAnsi="Arial" w:cs="Arial"/>
        </w:rPr>
      </w:pPr>
    </w:p>
    <w:p w14:paraId="0556CBC5" w14:textId="49C31ABE" w:rsidR="00B64293" w:rsidRPr="00290F56" w:rsidRDefault="00B64293" w:rsidP="00AE106A">
      <w:pPr>
        <w:spacing w:after="0" w:line="240" w:lineRule="auto"/>
        <w:rPr>
          <w:rFonts w:ascii="Arial" w:hAnsi="Arial" w:cs="Arial"/>
          <w:b/>
        </w:rPr>
      </w:pPr>
      <w:r w:rsidRPr="00290F56">
        <w:rPr>
          <w:rFonts w:ascii="Arial" w:hAnsi="Arial" w:cs="Arial"/>
          <w:b/>
        </w:rPr>
        <w:t>Definitions:</w:t>
      </w:r>
    </w:p>
    <w:p w14:paraId="793B0127" w14:textId="67A83ECF" w:rsidR="00B64293" w:rsidRDefault="00B64293" w:rsidP="00AE106A">
      <w:pPr>
        <w:spacing w:after="0" w:line="240" w:lineRule="auto"/>
        <w:rPr>
          <w:rFonts w:ascii="Arial" w:hAnsi="Arial" w:cs="Arial"/>
        </w:rPr>
      </w:pPr>
    </w:p>
    <w:p w14:paraId="3C7E7EF7" w14:textId="05BC1EAD" w:rsidR="00B64293" w:rsidRDefault="00B64293" w:rsidP="00AE10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# Heads of Department are defined as: </w:t>
      </w:r>
    </w:p>
    <w:p w14:paraId="756CEBDC" w14:textId="77B27BB8" w:rsidR="00B64293" w:rsidRDefault="00B64293" w:rsidP="00AE106A">
      <w:pPr>
        <w:spacing w:after="0" w:line="240" w:lineRule="auto"/>
        <w:rPr>
          <w:rFonts w:ascii="Arial" w:hAnsi="Arial" w:cs="Arial"/>
        </w:rPr>
      </w:pPr>
    </w:p>
    <w:p w14:paraId="65D39E70" w14:textId="1DCB1123" w:rsidR="00B64293" w:rsidRPr="00435FD3" w:rsidRDefault="00B64293" w:rsidP="00B64293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  <w:iCs/>
        </w:rPr>
      </w:pPr>
      <w:r w:rsidRPr="00435FD3">
        <w:rPr>
          <w:rFonts w:ascii="Arial" w:hAnsi="Arial" w:cs="Arial"/>
          <w:iCs/>
        </w:rPr>
        <w:t>Academic Heads of Department</w:t>
      </w:r>
      <w:r w:rsidR="002E2FD2" w:rsidRPr="00435FD3">
        <w:rPr>
          <w:rFonts w:ascii="Arial" w:hAnsi="Arial" w:cs="Arial"/>
          <w:iCs/>
        </w:rPr>
        <w:t xml:space="preserve"> (CSS/PPS/CBS)</w:t>
      </w:r>
    </w:p>
    <w:p w14:paraId="027212CC" w14:textId="77777777" w:rsidR="00B64293" w:rsidRPr="00435FD3" w:rsidRDefault="00B64293" w:rsidP="00B64293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  <w:iCs/>
        </w:rPr>
      </w:pPr>
      <w:r w:rsidRPr="00435FD3">
        <w:rPr>
          <w:rFonts w:ascii="Arial" w:hAnsi="Arial" w:cs="Arial"/>
          <w:iCs/>
        </w:rPr>
        <w:t xml:space="preserve">Director of Finance </w:t>
      </w:r>
    </w:p>
    <w:p w14:paraId="6D47C2FF" w14:textId="77777777" w:rsidR="00B64293" w:rsidRPr="00435FD3" w:rsidRDefault="00B64293" w:rsidP="00B64293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  <w:iCs/>
        </w:rPr>
      </w:pPr>
      <w:r w:rsidRPr="00435FD3">
        <w:rPr>
          <w:rFonts w:ascii="Arial" w:hAnsi="Arial" w:cs="Arial"/>
          <w:iCs/>
        </w:rPr>
        <w:t>PSD Heads of Departments</w:t>
      </w:r>
    </w:p>
    <w:p w14:paraId="751094E4" w14:textId="77777777" w:rsidR="00B64293" w:rsidRPr="00435FD3" w:rsidRDefault="00B64293" w:rsidP="00B64293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  <w:iCs/>
        </w:rPr>
      </w:pPr>
      <w:r w:rsidRPr="00435FD3">
        <w:rPr>
          <w:rFonts w:ascii="Arial" w:hAnsi="Arial" w:cs="Arial"/>
          <w:iCs/>
        </w:rPr>
        <w:t xml:space="preserve">LBIC CEO </w:t>
      </w:r>
    </w:p>
    <w:p w14:paraId="182CE119" w14:textId="77777777" w:rsidR="00B64293" w:rsidRPr="00435FD3" w:rsidRDefault="00B64293" w:rsidP="00B64293">
      <w:pPr>
        <w:pStyle w:val="ListParagraph"/>
        <w:numPr>
          <w:ilvl w:val="0"/>
          <w:numId w:val="25"/>
        </w:numPr>
        <w:spacing w:after="0" w:line="240" w:lineRule="auto"/>
        <w:contextualSpacing w:val="0"/>
        <w:rPr>
          <w:rFonts w:ascii="Arial" w:hAnsi="Arial" w:cs="Arial"/>
          <w:iCs/>
        </w:rPr>
      </w:pPr>
      <w:r w:rsidRPr="00435FD3">
        <w:rPr>
          <w:rFonts w:ascii="Arial" w:hAnsi="Arial" w:cs="Arial"/>
        </w:rPr>
        <w:t>Director of Research &amp; Innovation Services</w:t>
      </w:r>
    </w:p>
    <w:p w14:paraId="15413D1B" w14:textId="0098D988" w:rsidR="00B64293" w:rsidRDefault="00B64293" w:rsidP="00AE106A">
      <w:pPr>
        <w:spacing w:after="0" w:line="240" w:lineRule="auto"/>
        <w:rPr>
          <w:rFonts w:ascii="Arial" w:hAnsi="Arial" w:cs="Arial"/>
        </w:rPr>
      </w:pPr>
    </w:p>
    <w:p w14:paraId="02DDDB80" w14:textId="143A6D9C" w:rsidR="00435FD3" w:rsidRDefault="00435FD3" w:rsidP="00AE106A">
      <w:pPr>
        <w:spacing w:after="0" w:line="240" w:lineRule="auto"/>
        <w:rPr>
          <w:rFonts w:ascii="Arial" w:hAnsi="Arial" w:cs="Arial"/>
        </w:rPr>
      </w:pPr>
      <w:r w:rsidRPr="00290F56">
        <w:rPr>
          <w:rFonts w:ascii="Arial" w:hAnsi="Arial" w:cs="Arial"/>
          <w:b/>
        </w:rPr>
        <w:t>Temporary Resource/</w:t>
      </w:r>
      <w:r>
        <w:rPr>
          <w:rFonts w:ascii="Arial" w:hAnsi="Arial" w:cs="Arial"/>
          <w:b/>
        </w:rPr>
        <w:t>O</w:t>
      </w:r>
      <w:r w:rsidRPr="00290F56">
        <w:rPr>
          <w:rFonts w:ascii="Arial" w:hAnsi="Arial" w:cs="Arial"/>
          <w:b/>
        </w:rPr>
        <w:t xml:space="preserve">ther </w:t>
      </w:r>
      <w:r>
        <w:rPr>
          <w:rFonts w:ascii="Arial" w:hAnsi="Arial" w:cs="Arial"/>
          <w:b/>
        </w:rPr>
        <w:t>W</w:t>
      </w:r>
      <w:r w:rsidRPr="00290F56">
        <w:rPr>
          <w:rFonts w:ascii="Arial" w:hAnsi="Arial" w:cs="Arial"/>
          <w:b/>
        </w:rPr>
        <w:t>orkers</w:t>
      </w:r>
    </w:p>
    <w:p w14:paraId="1031A389" w14:textId="5EFFB180" w:rsidR="00CD12B1" w:rsidRDefault="00CD12B1" w:rsidP="00AE10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Temporary Resourcing needs within budget can be authorised by Heads of Department.  Temporary resourcing needs not within budget must be PAG approved as per the above </w:t>
      </w:r>
      <w:r w:rsidR="00435FD3">
        <w:rPr>
          <w:rFonts w:ascii="Arial" w:hAnsi="Arial" w:cs="Arial"/>
        </w:rPr>
        <w:t>p</w:t>
      </w:r>
      <w:r>
        <w:rPr>
          <w:rFonts w:ascii="Arial" w:hAnsi="Arial" w:cs="Arial"/>
        </w:rPr>
        <w:t>rocedure/form.</w:t>
      </w:r>
    </w:p>
    <w:p w14:paraId="5CC4FD5F" w14:textId="77777777" w:rsidR="00CD12B1" w:rsidRDefault="00CD12B1" w:rsidP="00AE106A">
      <w:pPr>
        <w:spacing w:after="0" w:line="240" w:lineRule="auto"/>
        <w:rPr>
          <w:rFonts w:ascii="Arial" w:hAnsi="Arial" w:cs="Arial"/>
        </w:rPr>
      </w:pPr>
    </w:p>
    <w:p w14:paraId="30C8C30E" w14:textId="1A041AF8" w:rsidR="00B64293" w:rsidRDefault="00CD12B1" w:rsidP="00AE106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35FD3">
        <w:rPr>
          <w:rFonts w:ascii="Arial" w:hAnsi="Arial" w:cs="Arial"/>
          <w:bCs/>
        </w:rPr>
        <w:t>Temporary Resource/</w:t>
      </w:r>
      <w:r w:rsidR="00435FD3" w:rsidRPr="00435FD3">
        <w:rPr>
          <w:rFonts w:ascii="Arial" w:hAnsi="Arial" w:cs="Arial"/>
          <w:bCs/>
        </w:rPr>
        <w:t>O</w:t>
      </w:r>
      <w:r w:rsidRPr="00435FD3">
        <w:rPr>
          <w:rFonts w:ascii="Arial" w:hAnsi="Arial" w:cs="Arial"/>
          <w:bCs/>
        </w:rPr>
        <w:t xml:space="preserve">ther </w:t>
      </w:r>
      <w:r w:rsidR="00796A2F" w:rsidRPr="00435FD3">
        <w:rPr>
          <w:rFonts w:ascii="Arial" w:hAnsi="Arial" w:cs="Arial"/>
          <w:bCs/>
        </w:rPr>
        <w:t>W</w:t>
      </w:r>
      <w:r w:rsidRPr="00435FD3">
        <w:rPr>
          <w:rFonts w:ascii="Arial" w:hAnsi="Arial" w:cs="Arial"/>
          <w:bCs/>
        </w:rPr>
        <w:t>orkers</w:t>
      </w:r>
      <w:r w:rsidRPr="00290F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are defined as:</w:t>
      </w:r>
    </w:p>
    <w:p w14:paraId="12729884" w14:textId="2205F891" w:rsidR="00CD12B1" w:rsidRPr="00435FD3" w:rsidRDefault="00CD12B1" w:rsidP="00CD12B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435FD3">
        <w:rPr>
          <w:rFonts w:ascii="Arial" w:hAnsi="Arial" w:cs="Arial"/>
        </w:rPr>
        <w:t>Casual Staff</w:t>
      </w:r>
    </w:p>
    <w:p w14:paraId="5151CABB" w14:textId="5C0C648C" w:rsidR="00CD12B1" w:rsidRPr="00435FD3" w:rsidRDefault="00CD12B1" w:rsidP="00CD12B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435FD3">
        <w:rPr>
          <w:rFonts w:ascii="Arial" w:hAnsi="Arial" w:cs="Arial"/>
        </w:rPr>
        <w:t>Agency Staff</w:t>
      </w:r>
    </w:p>
    <w:p w14:paraId="49DB4C6A" w14:textId="1F866BC2" w:rsidR="00CD12B1" w:rsidRPr="00435FD3" w:rsidRDefault="00CD12B1" w:rsidP="00CD12B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435FD3">
        <w:rPr>
          <w:rFonts w:ascii="Arial" w:hAnsi="Arial" w:cs="Arial"/>
        </w:rPr>
        <w:t>Contractors and Consultants</w:t>
      </w:r>
    </w:p>
    <w:p w14:paraId="7D0F483C" w14:textId="77777777" w:rsidR="00CD12B1" w:rsidRPr="00435FD3" w:rsidRDefault="00CD12B1" w:rsidP="00CD12B1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435FD3">
        <w:rPr>
          <w:rFonts w:ascii="Arial" w:hAnsi="Arial" w:cs="Arial"/>
        </w:rPr>
        <w:t>and all Occasional workers (= Visiting Lecturers/Invigilators/CPD/Examiners)</w:t>
      </w:r>
    </w:p>
    <w:p w14:paraId="693E0E16" w14:textId="77777777" w:rsidR="00CD12B1" w:rsidRDefault="00CD12B1" w:rsidP="00AE106A">
      <w:pPr>
        <w:spacing w:after="0" w:line="240" w:lineRule="auto"/>
        <w:rPr>
          <w:rFonts w:ascii="Arial" w:hAnsi="Arial" w:cs="Arial"/>
        </w:rPr>
      </w:pPr>
    </w:p>
    <w:p w14:paraId="19D1ED08" w14:textId="6361655D" w:rsidR="00290F56" w:rsidRPr="002E2FD2" w:rsidRDefault="00290F56" w:rsidP="00AE106A">
      <w:pPr>
        <w:spacing w:after="0" w:line="240" w:lineRule="auto"/>
        <w:rPr>
          <w:rFonts w:ascii="Arial" w:hAnsi="Arial" w:cs="Arial"/>
          <w:b/>
        </w:rPr>
      </w:pPr>
      <w:r w:rsidRPr="002E2FD2">
        <w:rPr>
          <w:rFonts w:ascii="Arial" w:hAnsi="Arial" w:cs="Arial"/>
          <w:b/>
        </w:rPr>
        <w:t>Process/</w:t>
      </w:r>
      <w:hyperlink r:id="rId7" w:anchor="panel-forms" w:history="1">
        <w:r w:rsidRPr="002E2FD2">
          <w:rPr>
            <w:rStyle w:val="Hyperlink"/>
            <w:rFonts w:ascii="Arial" w:hAnsi="Arial" w:cs="Arial"/>
            <w:b/>
          </w:rPr>
          <w:t>Forms:</w:t>
        </w:r>
      </w:hyperlink>
    </w:p>
    <w:p w14:paraId="6CEBE730" w14:textId="77777777" w:rsidR="00290F56" w:rsidRDefault="00290F56" w:rsidP="00AE106A">
      <w:pPr>
        <w:spacing w:after="0" w:line="240" w:lineRule="auto"/>
        <w:rPr>
          <w:rFonts w:ascii="Arial" w:hAnsi="Arial" w:cs="Arial"/>
        </w:rPr>
      </w:pPr>
    </w:p>
    <w:p w14:paraId="417A40E6" w14:textId="28131AF5" w:rsidR="00DE1044" w:rsidRPr="00DE1044" w:rsidRDefault="00290F56" w:rsidP="00157455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 w:rsidRPr="00DE1044">
        <w:rPr>
          <w:rFonts w:ascii="Arial" w:hAnsi="Arial" w:cs="Arial"/>
        </w:rPr>
        <w:t>Permanent</w:t>
      </w:r>
      <w:r w:rsidR="00CD12B1" w:rsidRPr="00DE1044">
        <w:rPr>
          <w:rFonts w:ascii="Arial" w:hAnsi="Arial" w:cs="Arial"/>
        </w:rPr>
        <w:t xml:space="preserve"> and Fixed Term Contracts – via the online </w:t>
      </w:r>
      <w:hyperlink r:id="rId8" w:history="1">
        <w:r w:rsidR="00DE1044" w:rsidRPr="00DE1044">
          <w:rPr>
            <w:rStyle w:val="Hyperlink"/>
            <w:rFonts w:ascii="Arial" w:hAnsi="Arial" w:cs="Arial"/>
          </w:rPr>
          <w:t>Staff Request Form</w:t>
        </w:r>
      </w:hyperlink>
    </w:p>
    <w:p w14:paraId="038748A5" w14:textId="14E7DFFD" w:rsidR="00CD12B1" w:rsidRDefault="00CD12B1" w:rsidP="00CD12B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Casual Staff – via the manual Casual Staff Request Form (currently being automated)</w:t>
      </w:r>
    </w:p>
    <w:p w14:paraId="1E88AE53" w14:textId="42791928" w:rsidR="00CD12B1" w:rsidRDefault="00CD12B1" w:rsidP="00CD12B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Agency Staff – via the Agency staff Request Form</w:t>
      </w:r>
      <w:r w:rsidR="003F70FE">
        <w:rPr>
          <w:rFonts w:ascii="Arial" w:hAnsi="Arial" w:cs="Arial"/>
        </w:rPr>
        <w:t xml:space="preserve"> (to Finance)</w:t>
      </w:r>
    </w:p>
    <w:p w14:paraId="414CA7D3" w14:textId="69FBFD05" w:rsidR="00CD12B1" w:rsidRDefault="00290F56" w:rsidP="00CD12B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Occasional workers – Occasional </w:t>
      </w:r>
      <w:r w:rsidR="002E2FD2">
        <w:rPr>
          <w:rFonts w:ascii="Arial" w:hAnsi="Arial" w:cs="Arial"/>
        </w:rPr>
        <w:t>Worker Claim F</w:t>
      </w:r>
      <w:r>
        <w:rPr>
          <w:rFonts w:ascii="Arial" w:hAnsi="Arial" w:cs="Arial"/>
        </w:rPr>
        <w:t>orm</w:t>
      </w:r>
    </w:p>
    <w:p w14:paraId="5AD2F12B" w14:textId="6644E497" w:rsidR="00290F56" w:rsidRPr="00CD12B1" w:rsidRDefault="00290F56" w:rsidP="00CD12B1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Contractors/Consultants – normally will require an IR35 assessment. Please speak with Finance or the Research Office as appropriate.</w:t>
      </w:r>
    </w:p>
    <w:p w14:paraId="2ECF191F" w14:textId="403396E4" w:rsidR="00666437" w:rsidRDefault="00B948C8" w:rsidP="00290F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5A0375E7" w14:textId="77777777" w:rsidR="00C030AA" w:rsidRPr="00666437" w:rsidRDefault="00C030AA" w:rsidP="009137CF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14:paraId="7451D62A" w14:textId="564C7538" w:rsidR="00B76C80" w:rsidRDefault="0063173D" w:rsidP="00EC3A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6A63">
        <w:rPr>
          <w:rFonts w:ascii="Arial" w:hAnsi="Arial" w:cs="Arial"/>
          <w:b/>
          <w:sz w:val="28"/>
          <w:szCs w:val="28"/>
        </w:rPr>
        <w:t xml:space="preserve">Recruitment </w:t>
      </w:r>
      <w:r w:rsidR="002C4F07" w:rsidRPr="00956A63">
        <w:rPr>
          <w:rFonts w:ascii="Arial" w:hAnsi="Arial" w:cs="Arial"/>
          <w:b/>
          <w:sz w:val="28"/>
          <w:szCs w:val="28"/>
        </w:rPr>
        <w:t>Position Authorisation</w:t>
      </w:r>
      <w:r w:rsidR="008329BA">
        <w:rPr>
          <w:rFonts w:ascii="Arial" w:hAnsi="Arial" w:cs="Arial"/>
          <w:b/>
          <w:sz w:val="28"/>
          <w:szCs w:val="28"/>
        </w:rPr>
        <w:t xml:space="preserve"> </w:t>
      </w:r>
      <w:r w:rsidR="00B76C80">
        <w:rPr>
          <w:rFonts w:ascii="Arial" w:hAnsi="Arial" w:cs="Arial"/>
          <w:b/>
          <w:sz w:val="24"/>
          <w:szCs w:val="24"/>
        </w:rPr>
        <w:tab/>
      </w:r>
      <w:r w:rsidR="006D70E0">
        <w:rPr>
          <w:rFonts w:ascii="Arial" w:hAnsi="Arial" w:cs="Arial"/>
          <w:b/>
          <w:sz w:val="24"/>
          <w:szCs w:val="24"/>
        </w:rPr>
        <w:tab/>
      </w:r>
      <w:r w:rsidR="006D70E0">
        <w:rPr>
          <w:rFonts w:ascii="Arial" w:hAnsi="Arial" w:cs="Arial"/>
          <w:b/>
          <w:sz w:val="24"/>
          <w:szCs w:val="24"/>
        </w:rPr>
        <w:tab/>
        <w:t>(</w:t>
      </w:r>
      <w:r w:rsidR="00290F56">
        <w:rPr>
          <w:rFonts w:ascii="Arial" w:hAnsi="Arial" w:cs="Arial"/>
          <w:b/>
          <w:sz w:val="24"/>
          <w:szCs w:val="24"/>
        </w:rPr>
        <w:t xml:space="preserve">November </w:t>
      </w:r>
      <w:r w:rsidR="003E6ECE">
        <w:rPr>
          <w:rFonts w:ascii="Arial" w:hAnsi="Arial" w:cs="Arial"/>
          <w:b/>
          <w:sz w:val="24"/>
          <w:szCs w:val="24"/>
        </w:rPr>
        <w:t>202</w:t>
      </w:r>
      <w:r w:rsidR="00290F56">
        <w:rPr>
          <w:rFonts w:ascii="Arial" w:hAnsi="Arial" w:cs="Arial"/>
          <w:b/>
          <w:sz w:val="24"/>
          <w:szCs w:val="24"/>
        </w:rPr>
        <w:t>2</w:t>
      </w:r>
      <w:r w:rsidR="006D70E0">
        <w:rPr>
          <w:rFonts w:ascii="Arial" w:hAnsi="Arial" w:cs="Arial"/>
          <w:b/>
          <w:sz w:val="24"/>
          <w:szCs w:val="24"/>
        </w:rPr>
        <w:t>)</w:t>
      </w:r>
      <w:r w:rsidR="00B76C80">
        <w:rPr>
          <w:rFonts w:ascii="Arial" w:hAnsi="Arial" w:cs="Arial"/>
          <w:b/>
          <w:sz w:val="24"/>
          <w:szCs w:val="24"/>
        </w:rPr>
        <w:tab/>
      </w:r>
    </w:p>
    <w:p w14:paraId="0291FF80" w14:textId="77777777" w:rsidR="008329BA" w:rsidRDefault="008329BA" w:rsidP="00EC3A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0376E4" w14:textId="77777777" w:rsidR="002C4F07" w:rsidRPr="00EC3A70" w:rsidRDefault="002C4F07">
      <w:pPr>
        <w:rPr>
          <w:rFonts w:ascii="Arial" w:hAnsi="Arial" w:cs="Arial"/>
        </w:rPr>
      </w:pPr>
      <w:r w:rsidRPr="00EC3A70">
        <w:rPr>
          <w:rFonts w:ascii="Arial" w:hAnsi="Arial" w:cs="Arial"/>
        </w:rPr>
        <w:t xml:space="preserve">The </w:t>
      </w:r>
      <w:r w:rsidR="006452A0" w:rsidRPr="00EC3A70">
        <w:rPr>
          <w:rFonts w:ascii="Arial" w:hAnsi="Arial" w:cs="Arial"/>
        </w:rPr>
        <w:t xml:space="preserve">table below outlines the </w:t>
      </w:r>
      <w:r w:rsidRPr="00EC3A70">
        <w:rPr>
          <w:rFonts w:ascii="Arial" w:hAnsi="Arial" w:cs="Arial"/>
        </w:rPr>
        <w:t xml:space="preserve">current procedure for the authorisation of </w:t>
      </w:r>
      <w:r w:rsidR="006D70E0" w:rsidRPr="00EC3A70">
        <w:rPr>
          <w:rFonts w:ascii="Arial" w:hAnsi="Arial" w:cs="Arial"/>
        </w:rPr>
        <w:t xml:space="preserve">permanent and fixed-term </w:t>
      </w:r>
      <w:r w:rsidRPr="00EC3A70">
        <w:rPr>
          <w:rFonts w:ascii="Arial" w:hAnsi="Arial" w:cs="Arial"/>
        </w:rPr>
        <w:t>positions</w:t>
      </w:r>
      <w:r w:rsidR="00B76C80" w:rsidRPr="00EC3A70">
        <w:rPr>
          <w:rFonts w:ascii="Arial" w:hAnsi="Arial" w:cs="Arial"/>
        </w:rPr>
        <w:t>.</w:t>
      </w:r>
      <w:r w:rsidR="00EC3A70">
        <w:rPr>
          <w:rFonts w:ascii="Arial" w:hAnsi="Arial" w:cs="Arial"/>
        </w:rPr>
        <w:t xml:space="preserve">  Please note, approved positions not actively recruited within 6 month</w:t>
      </w:r>
      <w:r w:rsidR="008329BA">
        <w:rPr>
          <w:rFonts w:ascii="Arial" w:hAnsi="Arial" w:cs="Arial"/>
        </w:rPr>
        <w:t>s will need to be resubmitted</w:t>
      </w:r>
      <w:r w:rsidR="00EC3A70">
        <w:rPr>
          <w:rFonts w:ascii="Arial" w:hAnsi="Arial" w:cs="Arial"/>
        </w:rPr>
        <w:t xml:space="preserve"> for further approval. 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314A85" w:rsidRPr="00314A85" w14:paraId="7494DAB8" w14:textId="77777777" w:rsidTr="00910E6E">
        <w:trPr>
          <w:trHeight w:val="489"/>
        </w:trPr>
        <w:tc>
          <w:tcPr>
            <w:tcW w:w="9625" w:type="dxa"/>
            <w:shd w:val="clear" w:color="auto" w:fill="E2EFD9" w:themeFill="accent6" w:themeFillTint="33"/>
          </w:tcPr>
          <w:p w14:paraId="3DF4D4CF" w14:textId="77777777" w:rsidR="00314A85" w:rsidRPr="00314A85" w:rsidRDefault="00314A85" w:rsidP="00314A85">
            <w:pPr>
              <w:jc w:val="center"/>
              <w:rPr>
                <w:rFonts w:ascii="Arial" w:hAnsi="Arial" w:cs="Arial"/>
                <w:b/>
              </w:rPr>
            </w:pPr>
            <w:r w:rsidRPr="00314A85">
              <w:rPr>
                <w:rFonts w:ascii="Arial" w:hAnsi="Arial" w:cs="Arial"/>
                <w:b/>
                <w:shd w:val="clear" w:color="auto" w:fill="E2EFD9" w:themeFill="accent6" w:themeFillTint="33"/>
              </w:rPr>
              <w:t>Authorisation Process</w:t>
            </w:r>
          </w:p>
        </w:tc>
      </w:tr>
      <w:tr w:rsidR="00314A85" w:rsidRPr="00314A85" w14:paraId="0E40360F" w14:textId="77777777" w:rsidTr="00910E6E">
        <w:tc>
          <w:tcPr>
            <w:tcW w:w="9625" w:type="dxa"/>
          </w:tcPr>
          <w:p w14:paraId="0D97B6AA" w14:textId="77777777" w:rsidR="00314A85" w:rsidRPr="00314A85" w:rsidRDefault="00314A85" w:rsidP="006452A0">
            <w:pPr>
              <w:rPr>
                <w:rFonts w:ascii="Arial" w:hAnsi="Arial" w:cs="Arial"/>
                <w:b/>
              </w:rPr>
            </w:pPr>
          </w:p>
          <w:p w14:paraId="104747F1" w14:textId="77777777" w:rsidR="00314A85" w:rsidRDefault="00314A85" w:rsidP="006452A0">
            <w:pPr>
              <w:rPr>
                <w:rFonts w:ascii="Arial" w:hAnsi="Arial" w:cs="Arial"/>
                <w:b/>
              </w:rPr>
            </w:pPr>
            <w:r w:rsidRPr="00314A85">
              <w:rPr>
                <w:rFonts w:ascii="Arial" w:hAnsi="Arial" w:cs="Arial"/>
                <w:b/>
              </w:rPr>
              <w:t>All Research Grant Funded Positions</w:t>
            </w:r>
          </w:p>
          <w:p w14:paraId="199F9429" w14:textId="77777777" w:rsidR="0068118F" w:rsidRPr="00314A85" w:rsidRDefault="0068118F" w:rsidP="006452A0">
            <w:pPr>
              <w:rPr>
                <w:rFonts w:ascii="Arial" w:hAnsi="Arial" w:cs="Arial"/>
                <w:b/>
              </w:rPr>
            </w:pPr>
          </w:p>
          <w:p w14:paraId="1A03B7CC" w14:textId="77777777" w:rsidR="00314A85" w:rsidRPr="00314A85" w:rsidRDefault="00314A85" w:rsidP="003E6E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 xml:space="preserve">Recruiting Manager submits Staff Request Form </w:t>
            </w:r>
          </w:p>
          <w:p w14:paraId="1BAECADA" w14:textId="77777777" w:rsidR="00314A85" w:rsidRPr="00314A85" w:rsidRDefault="00314A85" w:rsidP="003E6E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>Research Office Approves</w:t>
            </w:r>
          </w:p>
          <w:p w14:paraId="1BA8DA73" w14:textId="77777777" w:rsidR="00314A85" w:rsidRDefault="00314A85" w:rsidP="003E6E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Academic </w:t>
            </w:r>
            <w:r w:rsidRPr="00314A85">
              <w:rPr>
                <w:rFonts w:ascii="Arial" w:hAnsi="Arial" w:cs="Arial"/>
              </w:rPr>
              <w:t xml:space="preserve">Head of Department </w:t>
            </w:r>
            <w:r w:rsidR="008329BA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pproval</w:t>
            </w:r>
            <w:r w:rsidR="00DF3025">
              <w:rPr>
                <w:rFonts w:ascii="Arial" w:hAnsi="Arial" w:cs="Arial"/>
              </w:rPr>
              <w:t xml:space="preserve"> </w:t>
            </w:r>
          </w:p>
          <w:p w14:paraId="37D12BAB" w14:textId="77777777" w:rsidR="003E6ECE" w:rsidRPr="00314A85" w:rsidRDefault="003E6ECE" w:rsidP="003E6E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>Principal’s approval is delegated to HR Management</w:t>
            </w:r>
          </w:p>
          <w:p w14:paraId="6E851A4E" w14:textId="77777777" w:rsidR="00314A85" w:rsidRPr="00910E6E" w:rsidRDefault="00314A85" w:rsidP="003E6EC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>HR confirm</w:t>
            </w:r>
          </w:p>
          <w:p w14:paraId="034F24B7" w14:textId="77777777" w:rsidR="00314A85" w:rsidRPr="00314A85" w:rsidRDefault="00314A85" w:rsidP="006452A0">
            <w:pPr>
              <w:rPr>
                <w:rFonts w:ascii="Arial" w:hAnsi="Arial" w:cs="Arial"/>
              </w:rPr>
            </w:pPr>
          </w:p>
        </w:tc>
      </w:tr>
      <w:tr w:rsidR="00314A85" w:rsidRPr="00314A85" w14:paraId="450E3E97" w14:textId="77777777" w:rsidTr="00910E6E">
        <w:tc>
          <w:tcPr>
            <w:tcW w:w="9625" w:type="dxa"/>
          </w:tcPr>
          <w:p w14:paraId="635FA315" w14:textId="77777777" w:rsidR="00290F56" w:rsidRDefault="00290F56" w:rsidP="006452A0">
            <w:pPr>
              <w:rPr>
                <w:rFonts w:ascii="Arial" w:hAnsi="Arial" w:cs="Arial"/>
                <w:b/>
              </w:rPr>
            </w:pPr>
          </w:p>
          <w:p w14:paraId="0917E52F" w14:textId="4445A141" w:rsidR="00314A85" w:rsidRDefault="00290F56" w:rsidP="00645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 Budget </w:t>
            </w:r>
            <w:r w:rsidR="00314A85" w:rsidRPr="00314A85">
              <w:rPr>
                <w:rFonts w:ascii="Arial" w:hAnsi="Arial" w:cs="Arial"/>
                <w:b/>
              </w:rPr>
              <w:t>College Funded Positions</w:t>
            </w:r>
            <w:r>
              <w:rPr>
                <w:rFonts w:ascii="Arial" w:hAnsi="Arial" w:cs="Arial"/>
                <w:b/>
              </w:rPr>
              <w:t xml:space="preserve"> to</w:t>
            </w:r>
            <w:r w:rsidR="00435FD3">
              <w:rPr>
                <w:rFonts w:ascii="Arial" w:hAnsi="Arial" w:cs="Arial"/>
                <w:b/>
              </w:rPr>
              <w:t>/including</w:t>
            </w:r>
            <w:r>
              <w:rPr>
                <w:rFonts w:ascii="Arial" w:hAnsi="Arial" w:cs="Arial"/>
                <w:b/>
              </w:rPr>
              <w:t xml:space="preserve"> Grade 7*</w:t>
            </w:r>
            <w:r w:rsidR="00314A85" w:rsidRPr="00314A85">
              <w:rPr>
                <w:rFonts w:ascii="Arial" w:hAnsi="Arial" w:cs="Arial"/>
                <w:b/>
              </w:rPr>
              <w:t xml:space="preserve"> </w:t>
            </w:r>
          </w:p>
          <w:p w14:paraId="74BFE55B" w14:textId="77777777" w:rsidR="0068118F" w:rsidRPr="00314A85" w:rsidRDefault="0068118F" w:rsidP="006452A0">
            <w:pPr>
              <w:rPr>
                <w:rFonts w:ascii="Arial" w:hAnsi="Arial" w:cs="Arial"/>
                <w:b/>
              </w:rPr>
            </w:pPr>
          </w:p>
          <w:p w14:paraId="1A2D7A9A" w14:textId="66FC30DD" w:rsidR="00314A85" w:rsidRPr="00314A85" w:rsidRDefault="00314A85" w:rsidP="006452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 xml:space="preserve">Recruiting Manager submits Staff Request Form </w:t>
            </w:r>
          </w:p>
          <w:p w14:paraId="5DC53585" w14:textId="77777777" w:rsidR="00314A85" w:rsidRPr="00314A85" w:rsidRDefault="00DF3025" w:rsidP="006452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Department Approves</w:t>
            </w:r>
          </w:p>
          <w:p w14:paraId="71A310E8" w14:textId="77777777" w:rsidR="00314A85" w:rsidRPr="00314A85" w:rsidRDefault="00314A85" w:rsidP="006452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>Finance approve</w:t>
            </w:r>
          </w:p>
          <w:p w14:paraId="17CC97DC" w14:textId="77777777" w:rsidR="00314A85" w:rsidRPr="00314A85" w:rsidRDefault="00314A85" w:rsidP="006452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>Principal’s approval is delegated to HR Management</w:t>
            </w:r>
          </w:p>
          <w:p w14:paraId="1EEA84E7" w14:textId="77777777" w:rsidR="00314A85" w:rsidRPr="00314A85" w:rsidRDefault="00314A85" w:rsidP="006452A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>HR confirm</w:t>
            </w:r>
          </w:p>
          <w:p w14:paraId="25F94B51" w14:textId="77777777" w:rsidR="00314A85" w:rsidRPr="00314A85" w:rsidRDefault="00314A85" w:rsidP="000B5886">
            <w:pPr>
              <w:pStyle w:val="ListParagraph"/>
              <w:rPr>
                <w:rFonts w:ascii="Arial" w:hAnsi="Arial" w:cs="Arial"/>
              </w:rPr>
            </w:pPr>
          </w:p>
          <w:p w14:paraId="67CB1B25" w14:textId="77777777" w:rsidR="00314A85" w:rsidRPr="00314A85" w:rsidRDefault="00314A85" w:rsidP="006452A0">
            <w:pPr>
              <w:rPr>
                <w:rFonts w:ascii="Arial" w:hAnsi="Arial" w:cs="Arial"/>
                <w:i/>
              </w:rPr>
            </w:pPr>
            <w:r w:rsidRPr="00314A85">
              <w:rPr>
                <w:rFonts w:ascii="Arial" w:hAnsi="Arial" w:cs="Arial"/>
                <w:i/>
              </w:rPr>
              <w:t>For academic positions, the recruiting manager confirms during the SRF process that the relevant VP’s have approved the associated job description and person specification.</w:t>
            </w:r>
          </w:p>
          <w:p w14:paraId="75DD4789" w14:textId="77777777" w:rsidR="00314A85" w:rsidRPr="00314A85" w:rsidRDefault="00314A85">
            <w:pPr>
              <w:rPr>
                <w:rFonts w:ascii="Arial" w:hAnsi="Arial" w:cs="Arial"/>
              </w:rPr>
            </w:pPr>
          </w:p>
        </w:tc>
      </w:tr>
      <w:tr w:rsidR="00314A85" w:rsidRPr="00314A85" w14:paraId="6505103B" w14:textId="77777777" w:rsidTr="00910E6E">
        <w:tc>
          <w:tcPr>
            <w:tcW w:w="9625" w:type="dxa"/>
          </w:tcPr>
          <w:p w14:paraId="50D6F1F4" w14:textId="77777777" w:rsidR="00314A85" w:rsidRDefault="00314A85" w:rsidP="006452A0">
            <w:pPr>
              <w:rPr>
                <w:rFonts w:ascii="Arial" w:hAnsi="Arial" w:cs="Arial"/>
                <w:b/>
              </w:rPr>
            </w:pPr>
          </w:p>
          <w:p w14:paraId="660C7517" w14:textId="7FFDEA0A" w:rsidR="00290F56" w:rsidRDefault="00290F56" w:rsidP="006452A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Exceptions</w:t>
            </w:r>
          </w:p>
          <w:p w14:paraId="628CBF8B" w14:textId="77777777" w:rsidR="00DE1044" w:rsidRDefault="00DE1044" w:rsidP="003E379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New roles outside budget</w:t>
            </w:r>
          </w:p>
          <w:p w14:paraId="65E8E6CE" w14:textId="77777777" w:rsidR="003E3798" w:rsidRDefault="003E3798" w:rsidP="003E379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B64293">
              <w:rPr>
                <w:rFonts w:ascii="Arial" w:hAnsi="Arial" w:cs="Arial"/>
              </w:rPr>
              <w:t>Grades 8 and 9</w:t>
            </w:r>
            <w:r>
              <w:rPr>
                <w:rFonts w:ascii="Arial" w:hAnsi="Arial" w:cs="Arial"/>
              </w:rPr>
              <w:t xml:space="preserve"> roles:- all replacements and new positions, inside or outside budget</w:t>
            </w:r>
          </w:p>
          <w:p w14:paraId="4224911A" w14:textId="7321EB74" w:rsidR="00DE1044" w:rsidRPr="00B64293" w:rsidRDefault="00435FD3" w:rsidP="003E379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DE1044">
              <w:rPr>
                <w:rFonts w:ascii="Arial" w:hAnsi="Arial" w:cs="Arial"/>
              </w:rPr>
              <w:t>Grade 7 academic replacements (where there is a distinct change in focus of the role)</w:t>
            </w:r>
          </w:p>
          <w:p w14:paraId="7CBB3692" w14:textId="77777777" w:rsidR="00DE1044" w:rsidRDefault="00DE1044" w:rsidP="006452A0">
            <w:pPr>
              <w:rPr>
                <w:rFonts w:ascii="Arial" w:hAnsi="Arial" w:cs="Arial"/>
                <w:b/>
              </w:rPr>
            </w:pPr>
          </w:p>
          <w:p w14:paraId="46A69B1C" w14:textId="77777777" w:rsidR="00314A85" w:rsidRPr="00314A85" w:rsidRDefault="00314A85" w:rsidP="003E379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 xml:space="preserve">Recruiting Manager/Head of Department submit a proposal to </w:t>
            </w:r>
            <w:r w:rsidR="008329BA">
              <w:rPr>
                <w:rFonts w:ascii="Arial" w:hAnsi="Arial" w:cs="Arial"/>
              </w:rPr>
              <w:t>PAG</w:t>
            </w:r>
            <w:r w:rsidRPr="00314A85">
              <w:rPr>
                <w:rFonts w:ascii="Arial" w:hAnsi="Arial" w:cs="Arial"/>
              </w:rPr>
              <w:t xml:space="preserve"> for approval</w:t>
            </w:r>
          </w:p>
          <w:p w14:paraId="00996EB9" w14:textId="77777777" w:rsidR="00314A85" w:rsidRPr="00314A85" w:rsidRDefault="008329BA" w:rsidP="003E379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approved by PAG</w:t>
            </w:r>
            <w:r w:rsidR="00314A85" w:rsidRPr="00314A85">
              <w:rPr>
                <w:rFonts w:ascii="Arial" w:hAnsi="Arial" w:cs="Arial"/>
              </w:rPr>
              <w:t xml:space="preserve">, Recruiting Manager submits Staff Request Form </w:t>
            </w:r>
          </w:p>
          <w:p w14:paraId="193951C0" w14:textId="77777777" w:rsidR="00314A85" w:rsidRPr="00314A85" w:rsidRDefault="00DF3025" w:rsidP="003E379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Department Approves</w:t>
            </w:r>
          </w:p>
          <w:p w14:paraId="4702027A" w14:textId="77777777" w:rsidR="00314A85" w:rsidRPr="00314A85" w:rsidRDefault="00314A85" w:rsidP="003E379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 xml:space="preserve">Finance </w:t>
            </w:r>
            <w:proofErr w:type="gramStart"/>
            <w:r w:rsidRPr="00314A85">
              <w:rPr>
                <w:rFonts w:ascii="Arial" w:hAnsi="Arial" w:cs="Arial"/>
              </w:rPr>
              <w:t>approve</w:t>
            </w:r>
            <w:proofErr w:type="gramEnd"/>
          </w:p>
          <w:p w14:paraId="3325CB7D" w14:textId="77777777" w:rsidR="00314A85" w:rsidRPr="00314A85" w:rsidRDefault="00314A85" w:rsidP="003E379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>Principal’s approval delegated to HR Management</w:t>
            </w:r>
          </w:p>
          <w:p w14:paraId="4BFC4F61" w14:textId="77777777" w:rsidR="00314A85" w:rsidRPr="00314A85" w:rsidRDefault="00314A85" w:rsidP="003E3798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 xml:space="preserve">HR </w:t>
            </w:r>
            <w:proofErr w:type="gramStart"/>
            <w:r w:rsidRPr="00314A85">
              <w:rPr>
                <w:rFonts w:ascii="Arial" w:hAnsi="Arial" w:cs="Arial"/>
              </w:rPr>
              <w:t>confirm</w:t>
            </w:r>
            <w:proofErr w:type="gramEnd"/>
          </w:p>
          <w:p w14:paraId="297E1554" w14:textId="77777777" w:rsidR="00314A85" w:rsidRPr="00314A85" w:rsidRDefault="00314A85">
            <w:pPr>
              <w:rPr>
                <w:rFonts w:ascii="Arial" w:hAnsi="Arial" w:cs="Arial"/>
              </w:rPr>
            </w:pPr>
          </w:p>
        </w:tc>
      </w:tr>
      <w:tr w:rsidR="00314A85" w:rsidRPr="00314A85" w14:paraId="0E4A8D07" w14:textId="77777777" w:rsidTr="00910E6E">
        <w:tc>
          <w:tcPr>
            <w:tcW w:w="9625" w:type="dxa"/>
          </w:tcPr>
          <w:p w14:paraId="0E4C83AC" w14:textId="77777777" w:rsidR="00314A85" w:rsidRDefault="00314A85" w:rsidP="006452A0">
            <w:pPr>
              <w:rPr>
                <w:rFonts w:ascii="Arial" w:hAnsi="Arial" w:cs="Arial"/>
                <w:b/>
              </w:rPr>
            </w:pPr>
          </w:p>
          <w:p w14:paraId="286427F7" w14:textId="77777777" w:rsidR="00314A85" w:rsidRPr="00314A85" w:rsidRDefault="00314A85" w:rsidP="006452A0">
            <w:pPr>
              <w:rPr>
                <w:rFonts w:ascii="Arial" w:hAnsi="Arial" w:cs="Arial"/>
                <w:b/>
              </w:rPr>
            </w:pPr>
            <w:r w:rsidRPr="00314A85">
              <w:rPr>
                <w:rFonts w:ascii="Arial" w:hAnsi="Arial" w:cs="Arial"/>
                <w:b/>
              </w:rPr>
              <w:t>Maternity Cover</w:t>
            </w:r>
          </w:p>
          <w:p w14:paraId="255DF757" w14:textId="77777777" w:rsidR="00314A85" w:rsidRPr="00314A85" w:rsidRDefault="00314A85" w:rsidP="006452A0">
            <w:pPr>
              <w:rPr>
                <w:rFonts w:ascii="Arial" w:hAnsi="Arial" w:cs="Arial"/>
                <w:b/>
              </w:rPr>
            </w:pPr>
          </w:p>
          <w:p w14:paraId="20E67875" w14:textId="77777777" w:rsidR="00314A85" w:rsidRPr="00314A85" w:rsidRDefault="00314A85" w:rsidP="00F703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 xml:space="preserve">Automatic authorisation for Maternity cover of up to </w:t>
            </w:r>
            <w:r w:rsidRPr="003E6ECE">
              <w:rPr>
                <w:rFonts w:ascii="Arial" w:hAnsi="Arial" w:cs="Arial"/>
              </w:rPr>
              <w:t>1 year</w:t>
            </w:r>
            <w:r w:rsidR="00DF3025">
              <w:rPr>
                <w:rFonts w:ascii="Arial" w:hAnsi="Arial" w:cs="Arial"/>
              </w:rPr>
              <w:t xml:space="preserve"> </w:t>
            </w:r>
            <w:r w:rsidR="00910E6E">
              <w:rPr>
                <w:rFonts w:ascii="Arial" w:hAnsi="Arial" w:cs="Arial"/>
              </w:rPr>
              <w:t xml:space="preserve"> </w:t>
            </w:r>
            <w:r w:rsidR="00DF3025">
              <w:rPr>
                <w:rFonts w:ascii="Arial" w:hAnsi="Arial" w:cs="Arial"/>
              </w:rPr>
              <w:t>(any grade)</w:t>
            </w:r>
          </w:p>
          <w:p w14:paraId="44A7EEA7" w14:textId="0B86A6E0" w:rsidR="00314A85" w:rsidRDefault="00314A85" w:rsidP="00F7036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14A85">
              <w:rPr>
                <w:rFonts w:ascii="Arial" w:hAnsi="Arial" w:cs="Arial"/>
              </w:rPr>
              <w:t>Po</w:t>
            </w:r>
            <w:r w:rsidR="008329BA">
              <w:rPr>
                <w:rFonts w:ascii="Arial" w:hAnsi="Arial" w:cs="Arial"/>
              </w:rPr>
              <w:t xml:space="preserve">st can be </w:t>
            </w:r>
            <w:r w:rsidR="00DE1044">
              <w:rPr>
                <w:rFonts w:ascii="Arial" w:hAnsi="Arial" w:cs="Arial"/>
              </w:rPr>
              <w:t xml:space="preserve">authorised by HoD </w:t>
            </w:r>
            <w:r w:rsidR="00E97BA5">
              <w:rPr>
                <w:rFonts w:ascii="Arial" w:hAnsi="Arial" w:cs="Arial"/>
              </w:rPr>
              <w:t xml:space="preserve">and </w:t>
            </w:r>
            <w:r w:rsidR="008329BA">
              <w:rPr>
                <w:rFonts w:ascii="Arial" w:hAnsi="Arial" w:cs="Arial"/>
              </w:rPr>
              <w:t xml:space="preserve">advertised </w:t>
            </w:r>
            <w:r w:rsidR="00E97BA5">
              <w:rPr>
                <w:rFonts w:ascii="Arial" w:hAnsi="Arial" w:cs="Arial"/>
              </w:rPr>
              <w:t xml:space="preserve"> - does not require </w:t>
            </w:r>
            <w:r w:rsidR="008329BA">
              <w:rPr>
                <w:rFonts w:ascii="Arial" w:hAnsi="Arial" w:cs="Arial"/>
              </w:rPr>
              <w:t>PAG</w:t>
            </w:r>
            <w:r w:rsidRPr="00314A85">
              <w:rPr>
                <w:rFonts w:ascii="Arial" w:hAnsi="Arial" w:cs="Arial"/>
              </w:rPr>
              <w:t xml:space="preserve"> approval </w:t>
            </w:r>
          </w:p>
          <w:p w14:paraId="797B67D0" w14:textId="77777777" w:rsidR="00762AE7" w:rsidRPr="00314A85" w:rsidRDefault="00762AE7" w:rsidP="00762AE7">
            <w:pPr>
              <w:pStyle w:val="ListParagraph"/>
              <w:rPr>
                <w:rFonts w:ascii="Arial" w:hAnsi="Arial" w:cs="Arial"/>
              </w:rPr>
            </w:pPr>
          </w:p>
        </w:tc>
      </w:tr>
    </w:tbl>
    <w:p w14:paraId="5D10FFC3" w14:textId="77777777" w:rsidR="00910E6E" w:rsidRPr="00910E6E" w:rsidRDefault="00EB129E" w:rsidP="00910E6E">
      <w:pPr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 w:rsidRPr="00EB129E">
        <w:rPr>
          <w:rFonts w:ascii="Roboto" w:hAnsi="Roboto"/>
          <w:noProof/>
          <w:color w:val="2962FF"/>
          <w:lang w:eastAsia="en-GB"/>
        </w:rPr>
        <w:t xml:space="preserve"> </w:t>
      </w:r>
      <w:r>
        <w:rPr>
          <w:rFonts w:ascii="Roboto" w:hAnsi="Roboto"/>
          <w:noProof/>
          <w:color w:val="2962FF"/>
          <w:lang w:eastAsia="en-GB"/>
        </w:rPr>
        <w:t xml:space="preserve"> </w:t>
      </w:r>
    </w:p>
    <w:sectPr w:rsidR="00910E6E" w:rsidRPr="00910E6E" w:rsidSect="009137CF">
      <w:footerReference w:type="default" r:id="rId9"/>
      <w:pgSz w:w="11906" w:h="16838" w:code="9"/>
      <w:pgMar w:top="1008" w:right="864" w:bottom="576" w:left="1440" w:header="57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1A1A" w14:textId="77777777" w:rsidR="00B76C80" w:rsidRDefault="00B76C80" w:rsidP="00B76C80">
      <w:pPr>
        <w:spacing w:after="0" w:line="240" w:lineRule="auto"/>
      </w:pPr>
      <w:r>
        <w:separator/>
      </w:r>
    </w:p>
  </w:endnote>
  <w:endnote w:type="continuationSeparator" w:id="0">
    <w:p w14:paraId="72D0C843" w14:textId="77777777" w:rsidR="00B76C80" w:rsidRDefault="00B76C80" w:rsidP="00B7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8735" w14:textId="1420BFE9" w:rsidR="00314A85" w:rsidRPr="00B948C8" w:rsidRDefault="00314A85" w:rsidP="0068118F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tab/>
    </w:r>
    <w:r>
      <w:tab/>
    </w:r>
    <w:r w:rsidR="00B948C8">
      <w:rPr>
        <w:rFonts w:ascii="Arial" w:hAnsi="Arial" w:cs="Arial"/>
        <w:sz w:val="16"/>
        <w:szCs w:val="16"/>
      </w:rPr>
      <w:t>Version</w:t>
    </w:r>
    <w:r w:rsidR="003E6ECE" w:rsidRPr="00B948C8">
      <w:rPr>
        <w:rFonts w:ascii="Arial" w:hAnsi="Arial" w:cs="Arial"/>
        <w:sz w:val="16"/>
        <w:szCs w:val="16"/>
      </w:rPr>
      <w:t xml:space="preserve"> </w:t>
    </w:r>
    <w:r w:rsidR="00910E6E" w:rsidRPr="00B948C8">
      <w:rPr>
        <w:rFonts w:ascii="Arial" w:hAnsi="Arial" w:cs="Arial"/>
        <w:sz w:val="16"/>
        <w:szCs w:val="16"/>
      </w:rPr>
      <w:t xml:space="preserve">/ </w:t>
    </w:r>
    <w:r w:rsidR="00B948C8" w:rsidRPr="00B948C8">
      <w:rPr>
        <w:rFonts w:ascii="Arial" w:hAnsi="Arial" w:cs="Arial"/>
        <w:sz w:val="16"/>
        <w:szCs w:val="16"/>
      </w:rPr>
      <w:t>November 2022</w:t>
    </w:r>
    <w:r w:rsidR="00B948C8">
      <w:rPr>
        <w:rFonts w:ascii="Arial" w:hAnsi="Arial" w:cs="Arial"/>
        <w:sz w:val="16"/>
        <w:szCs w:val="16"/>
      </w:rPr>
      <w:t>/IM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BAD9" w14:textId="77777777" w:rsidR="00B76C80" w:rsidRDefault="00B76C80" w:rsidP="00B76C80">
      <w:pPr>
        <w:spacing w:after="0" w:line="240" w:lineRule="auto"/>
      </w:pPr>
      <w:r>
        <w:separator/>
      </w:r>
    </w:p>
  </w:footnote>
  <w:footnote w:type="continuationSeparator" w:id="0">
    <w:p w14:paraId="0E013306" w14:textId="77777777" w:rsidR="00B76C80" w:rsidRDefault="00B76C80" w:rsidP="00B7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64BF"/>
    <w:multiLevelType w:val="hybridMultilevel"/>
    <w:tmpl w:val="6D5832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40A18"/>
    <w:multiLevelType w:val="hybridMultilevel"/>
    <w:tmpl w:val="DF508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634E5"/>
    <w:multiLevelType w:val="hybridMultilevel"/>
    <w:tmpl w:val="88744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76453"/>
    <w:multiLevelType w:val="hybridMultilevel"/>
    <w:tmpl w:val="A8F42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787D"/>
    <w:multiLevelType w:val="hybridMultilevel"/>
    <w:tmpl w:val="3A0C6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F4B8E"/>
    <w:multiLevelType w:val="hybridMultilevel"/>
    <w:tmpl w:val="88FA8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605E2"/>
    <w:multiLevelType w:val="hybridMultilevel"/>
    <w:tmpl w:val="DF508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56034"/>
    <w:multiLevelType w:val="hybridMultilevel"/>
    <w:tmpl w:val="D6F29A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F330F0"/>
    <w:multiLevelType w:val="hybridMultilevel"/>
    <w:tmpl w:val="FB1053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F3147"/>
    <w:multiLevelType w:val="hybridMultilevel"/>
    <w:tmpl w:val="1DB89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75D99"/>
    <w:multiLevelType w:val="hybridMultilevel"/>
    <w:tmpl w:val="FADC6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B68F6"/>
    <w:multiLevelType w:val="hybridMultilevel"/>
    <w:tmpl w:val="FD149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11FD3"/>
    <w:multiLevelType w:val="hybridMultilevel"/>
    <w:tmpl w:val="CD98E344"/>
    <w:lvl w:ilvl="0" w:tplc="1AE053FE">
      <w:start w:val="2"/>
      <w:numFmt w:val="lowerRoman"/>
      <w:lvlText w:val="%1)"/>
      <w:lvlJc w:val="left"/>
      <w:pPr>
        <w:ind w:left="15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C0114DA"/>
    <w:multiLevelType w:val="hybridMultilevel"/>
    <w:tmpl w:val="A8F42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7A0495"/>
    <w:multiLevelType w:val="hybridMultilevel"/>
    <w:tmpl w:val="A8F42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87E31"/>
    <w:multiLevelType w:val="hybridMultilevel"/>
    <w:tmpl w:val="2C16B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50611"/>
    <w:multiLevelType w:val="hybridMultilevel"/>
    <w:tmpl w:val="27649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5C6D2A"/>
    <w:multiLevelType w:val="hybridMultilevel"/>
    <w:tmpl w:val="88744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30FDE"/>
    <w:multiLevelType w:val="hybridMultilevel"/>
    <w:tmpl w:val="EEA60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C0E8D"/>
    <w:multiLevelType w:val="hybridMultilevel"/>
    <w:tmpl w:val="27649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E27E4"/>
    <w:multiLevelType w:val="hybridMultilevel"/>
    <w:tmpl w:val="628ADC66"/>
    <w:lvl w:ilvl="0" w:tplc="89C84744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93B9D"/>
    <w:multiLevelType w:val="hybridMultilevel"/>
    <w:tmpl w:val="9EEC5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23848"/>
    <w:multiLevelType w:val="hybridMultilevel"/>
    <w:tmpl w:val="A8F42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01E1B"/>
    <w:multiLevelType w:val="hybridMultilevel"/>
    <w:tmpl w:val="27649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77E8E"/>
    <w:multiLevelType w:val="hybridMultilevel"/>
    <w:tmpl w:val="DA94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C5969"/>
    <w:multiLevelType w:val="hybridMultilevel"/>
    <w:tmpl w:val="27649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435B6"/>
    <w:multiLevelType w:val="hybridMultilevel"/>
    <w:tmpl w:val="A8F42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47BEA"/>
    <w:multiLevelType w:val="hybridMultilevel"/>
    <w:tmpl w:val="27649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D1FAA"/>
    <w:multiLevelType w:val="hybridMultilevel"/>
    <w:tmpl w:val="88744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775133">
    <w:abstractNumId w:val="27"/>
  </w:num>
  <w:num w:numId="2" w16cid:durableId="774400110">
    <w:abstractNumId w:val="26"/>
  </w:num>
  <w:num w:numId="3" w16cid:durableId="223756987">
    <w:abstractNumId w:val="17"/>
  </w:num>
  <w:num w:numId="4" w16cid:durableId="1510170379">
    <w:abstractNumId w:val="14"/>
  </w:num>
  <w:num w:numId="5" w16cid:durableId="456919775">
    <w:abstractNumId w:val="23"/>
  </w:num>
  <w:num w:numId="6" w16cid:durableId="1459032368">
    <w:abstractNumId w:val="19"/>
  </w:num>
  <w:num w:numId="7" w16cid:durableId="597492711">
    <w:abstractNumId w:val="16"/>
  </w:num>
  <w:num w:numId="8" w16cid:durableId="1312324721">
    <w:abstractNumId w:val="25"/>
  </w:num>
  <w:num w:numId="9" w16cid:durableId="1088692974">
    <w:abstractNumId w:val="22"/>
  </w:num>
  <w:num w:numId="10" w16cid:durableId="251821319">
    <w:abstractNumId w:val="21"/>
  </w:num>
  <w:num w:numId="11" w16cid:durableId="1555773120">
    <w:abstractNumId w:val="2"/>
  </w:num>
  <w:num w:numId="12" w16cid:durableId="227999819">
    <w:abstractNumId w:val="28"/>
  </w:num>
  <w:num w:numId="13" w16cid:durableId="160972470">
    <w:abstractNumId w:val="13"/>
  </w:num>
  <w:num w:numId="14" w16cid:durableId="1027026432">
    <w:abstractNumId w:val="3"/>
  </w:num>
  <w:num w:numId="15" w16cid:durableId="3015386">
    <w:abstractNumId w:val="12"/>
  </w:num>
  <w:num w:numId="16" w16cid:durableId="943343886">
    <w:abstractNumId w:val="20"/>
  </w:num>
  <w:num w:numId="17" w16cid:durableId="274409434">
    <w:abstractNumId w:val="18"/>
  </w:num>
  <w:num w:numId="18" w16cid:durableId="1490901993">
    <w:abstractNumId w:val="15"/>
  </w:num>
  <w:num w:numId="19" w16cid:durableId="1142845729">
    <w:abstractNumId w:val="9"/>
  </w:num>
  <w:num w:numId="20" w16cid:durableId="867451842">
    <w:abstractNumId w:val="7"/>
  </w:num>
  <w:num w:numId="21" w16cid:durableId="12653035">
    <w:abstractNumId w:val="10"/>
  </w:num>
  <w:num w:numId="22" w16cid:durableId="263922351">
    <w:abstractNumId w:val="8"/>
  </w:num>
  <w:num w:numId="23" w16cid:durableId="33389655">
    <w:abstractNumId w:val="4"/>
  </w:num>
  <w:num w:numId="24" w16cid:durableId="1677995966">
    <w:abstractNumId w:val="1"/>
  </w:num>
  <w:num w:numId="25" w16cid:durableId="2078436387">
    <w:abstractNumId w:val="11"/>
  </w:num>
  <w:num w:numId="26" w16cid:durableId="251206109">
    <w:abstractNumId w:val="24"/>
  </w:num>
  <w:num w:numId="27" w16cid:durableId="205724954">
    <w:abstractNumId w:val="5"/>
  </w:num>
  <w:num w:numId="28" w16cid:durableId="239608787">
    <w:abstractNumId w:val="6"/>
  </w:num>
  <w:num w:numId="29" w16cid:durableId="1819766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F07"/>
    <w:rsid w:val="00061EE2"/>
    <w:rsid w:val="000B5886"/>
    <w:rsid w:val="000B7A30"/>
    <w:rsid w:val="000E035C"/>
    <w:rsid w:val="00240FB0"/>
    <w:rsid w:val="00243CBC"/>
    <w:rsid w:val="00290F56"/>
    <w:rsid w:val="002948AB"/>
    <w:rsid w:val="002C4F07"/>
    <w:rsid w:val="002E2FD2"/>
    <w:rsid w:val="00314A85"/>
    <w:rsid w:val="00381791"/>
    <w:rsid w:val="003E3798"/>
    <w:rsid w:val="003E6ECE"/>
    <w:rsid w:val="003F4DD9"/>
    <w:rsid w:val="003F70FE"/>
    <w:rsid w:val="004220F2"/>
    <w:rsid w:val="0043352C"/>
    <w:rsid w:val="00435FD3"/>
    <w:rsid w:val="00475CBB"/>
    <w:rsid w:val="004B5134"/>
    <w:rsid w:val="00514D5F"/>
    <w:rsid w:val="005243DA"/>
    <w:rsid w:val="00544CFF"/>
    <w:rsid w:val="00583088"/>
    <w:rsid w:val="0062509F"/>
    <w:rsid w:val="00625B87"/>
    <w:rsid w:val="0063173D"/>
    <w:rsid w:val="006452A0"/>
    <w:rsid w:val="00661AF0"/>
    <w:rsid w:val="00666437"/>
    <w:rsid w:val="0068118F"/>
    <w:rsid w:val="006D70E0"/>
    <w:rsid w:val="00762AE7"/>
    <w:rsid w:val="00796A2F"/>
    <w:rsid w:val="008329BA"/>
    <w:rsid w:val="00910E6E"/>
    <w:rsid w:val="009137CF"/>
    <w:rsid w:val="00917F3C"/>
    <w:rsid w:val="009205F3"/>
    <w:rsid w:val="00956A63"/>
    <w:rsid w:val="009C7D7E"/>
    <w:rsid w:val="00A539A8"/>
    <w:rsid w:val="00A54A71"/>
    <w:rsid w:val="00AB57B6"/>
    <w:rsid w:val="00AE106A"/>
    <w:rsid w:val="00B137EE"/>
    <w:rsid w:val="00B64293"/>
    <w:rsid w:val="00B745E2"/>
    <w:rsid w:val="00B76C80"/>
    <w:rsid w:val="00B948C8"/>
    <w:rsid w:val="00C030AA"/>
    <w:rsid w:val="00C204F0"/>
    <w:rsid w:val="00C92FD8"/>
    <w:rsid w:val="00CA3532"/>
    <w:rsid w:val="00CA4425"/>
    <w:rsid w:val="00CB02DB"/>
    <w:rsid w:val="00CB4E88"/>
    <w:rsid w:val="00CD12B1"/>
    <w:rsid w:val="00CD519B"/>
    <w:rsid w:val="00CE4DAB"/>
    <w:rsid w:val="00D11B60"/>
    <w:rsid w:val="00D8737C"/>
    <w:rsid w:val="00DE1044"/>
    <w:rsid w:val="00DF3025"/>
    <w:rsid w:val="00DF63A2"/>
    <w:rsid w:val="00E46944"/>
    <w:rsid w:val="00E97BA5"/>
    <w:rsid w:val="00EB129E"/>
    <w:rsid w:val="00EC3A70"/>
    <w:rsid w:val="00F7036B"/>
    <w:rsid w:val="00F945BB"/>
    <w:rsid w:val="00FA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259BFFD"/>
  <w15:chartTrackingRefBased/>
  <w15:docId w15:val="{3E9B7E7C-7A74-4B6E-8946-ED9054B4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6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C80"/>
  </w:style>
  <w:style w:type="paragraph" w:styleId="Footer">
    <w:name w:val="footer"/>
    <w:basedOn w:val="Normal"/>
    <w:link w:val="FooterChar"/>
    <w:uiPriority w:val="99"/>
    <w:unhideWhenUsed/>
    <w:rsid w:val="00B76C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C80"/>
  </w:style>
  <w:style w:type="character" w:styleId="Hyperlink">
    <w:name w:val="Hyperlink"/>
    <w:basedOn w:val="DefaultParagraphFont"/>
    <w:uiPriority w:val="99"/>
    <w:unhideWhenUsed/>
    <w:rsid w:val="00290F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.rvc.ac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vc.ac.uk/about/our-people/human-resources/forms-and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Pike, Cindy</dc:creator>
  <cp:keywords/>
  <dc:description/>
  <cp:lastModifiedBy>Maxwell, Issy</cp:lastModifiedBy>
  <cp:revision>8</cp:revision>
  <cp:lastPrinted>2022-11-21T17:41:00Z</cp:lastPrinted>
  <dcterms:created xsi:type="dcterms:W3CDTF">2022-11-21T16:46:00Z</dcterms:created>
  <dcterms:modified xsi:type="dcterms:W3CDTF">2022-11-25T11:38:00Z</dcterms:modified>
</cp:coreProperties>
</file>