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6D" w:rsidRPr="00121D2F" w:rsidRDefault="0089006D" w:rsidP="00762171">
      <w:pPr>
        <w:pStyle w:val="Title"/>
        <w:spacing w:before="0" w:after="0"/>
        <w:ind w:right="1076"/>
        <w:rPr>
          <w:rFonts w:ascii="Palatino Linotype" w:hAnsi="Palatino Linotype"/>
          <w:sz w:val="22"/>
          <w:szCs w:val="22"/>
        </w:rPr>
      </w:pPr>
    </w:p>
    <w:p w:rsidR="0089006D" w:rsidRPr="00121D2F" w:rsidRDefault="0089006D" w:rsidP="00762171">
      <w:pPr>
        <w:pStyle w:val="Title"/>
        <w:spacing w:before="0" w:after="0"/>
        <w:ind w:right="1076"/>
        <w:rPr>
          <w:rFonts w:ascii="Palatino Linotype" w:hAnsi="Palatino Linotype"/>
          <w:sz w:val="22"/>
          <w:szCs w:val="22"/>
        </w:rPr>
      </w:pPr>
    </w:p>
    <w:p w:rsidR="0089006D" w:rsidRPr="00121D2F" w:rsidRDefault="0089006D" w:rsidP="00762171">
      <w:pPr>
        <w:pStyle w:val="Title"/>
        <w:spacing w:before="0" w:after="0"/>
        <w:ind w:right="1076"/>
        <w:rPr>
          <w:rFonts w:ascii="Palatino Linotype" w:hAnsi="Palatino Linotype"/>
          <w:sz w:val="22"/>
          <w:szCs w:val="22"/>
        </w:rPr>
      </w:pPr>
      <w:r w:rsidRPr="00121D2F">
        <w:rPr>
          <w:rFonts w:ascii="Palatino Linotype" w:hAnsi="Palatino Linotype"/>
          <w:sz w:val="22"/>
          <w:szCs w:val="22"/>
        </w:rPr>
        <w:t>Assessment and Award Regulations</w:t>
      </w:r>
    </w:p>
    <w:p w:rsidR="0089006D" w:rsidRPr="00121D2F" w:rsidRDefault="0089006D" w:rsidP="00762171">
      <w:pPr>
        <w:pStyle w:val="Title"/>
        <w:spacing w:before="0" w:after="0"/>
        <w:ind w:right="1076"/>
        <w:rPr>
          <w:rFonts w:ascii="Palatino Linotype" w:hAnsi="Palatino Linotype"/>
          <w:b w:val="0"/>
          <w:bCs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142" w:type="dxa"/>
        </w:tblCellMar>
        <w:tblLook w:val="0000"/>
      </w:tblPr>
      <w:tblGrid>
        <w:gridCol w:w="691"/>
        <w:gridCol w:w="8937"/>
      </w:tblGrid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pStyle w:val="Subtitle"/>
              <w:rPr>
                <w:rFonts w:ascii="Palatino Linotype" w:hAnsi="Palatino Linotype" w:cs="Arial"/>
                <w:szCs w:val="22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>1.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pStyle w:val="Subtitle"/>
              <w:rPr>
                <w:rFonts w:ascii="Palatino Linotype" w:hAnsi="Palatino Linotype" w:cs="Arial"/>
                <w:szCs w:val="22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 xml:space="preserve">Course: </w:t>
            </w:r>
            <w:r w:rsidRPr="00121D2F">
              <w:rPr>
                <w:rFonts w:ascii="Palatino Linotype" w:hAnsi="Palatino Linotype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21D2F">
              <w:rPr>
                <w:rFonts w:ascii="Palatino Linotype" w:hAnsi="Palatino Linotype" w:cs="Arial"/>
                <w:b w:val="0"/>
                <w:bCs w:val="0"/>
                <w:sz w:val="22"/>
                <w:szCs w:val="22"/>
              </w:rPr>
              <w:t>BVetMed</w:t>
            </w:r>
            <w:proofErr w:type="spellEnd"/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b/>
                <w:sz w:val="22"/>
                <w:szCs w:val="22"/>
              </w:rPr>
              <w:t>Year: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 2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Applicable to Academic Year:  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>2010/11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sz w:val="22"/>
                <w:szCs w:val="22"/>
              </w:rPr>
              <w:t>Aspects of course covered by Examination: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All subjects taught in Years 1 and 2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641" w:type="pct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Form of Examination</w:t>
            </w:r>
          </w:p>
        </w:tc>
      </w:tr>
      <w:tr w:rsidR="0089006D" w:rsidRPr="00121D2F" w:rsidTr="00121D2F">
        <w:trPr>
          <w:cantSplit/>
          <w:trHeight w:val="301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08020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5.1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Written Papers:</w:t>
            </w:r>
          </w:p>
          <w:p w:rsidR="0089006D" w:rsidRPr="00121D2F" w:rsidRDefault="0089006D" w:rsidP="00762171">
            <w:pPr>
              <w:pStyle w:val="Header"/>
              <w:ind w:firstLine="315"/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 xml:space="preserve">Paper 1: Up to 3 hours, up to 150 theory-based multiple choice questions (MCQ) </w:t>
            </w:r>
          </w:p>
          <w:p w:rsidR="0089006D" w:rsidRPr="00121D2F" w:rsidRDefault="0089006D" w:rsidP="00762171">
            <w:pPr>
              <w:ind w:firstLine="315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Paper 2: Up to 3 hours of problem solving questions</w:t>
            </w:r>
          </w:p>
          <w:p w:rsidR="0089006D" w:rsidRPr="00121D2F" w:rsidRDefault="0089006D" w:rsidP="00762171">
            <w:pPr>
              <w:ind w:left="315"/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Paper 3: 3 hours, 6 essay questions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08020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5.2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In course assessments:</w:t>
            </w:r>
          </w:p>
          <w:p w:rsidR="0089006D" w:rsidRPr="00121D2F" w:rsidRDefault="0089006D" w:rsidP="00080205">
            <w:pPr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In course assessments related to subjects taught in the 2nd Year.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single" w:sz="4" w:space="0" w:color="auto"/>
            </w:tcBorders>
          </w:tcPr>
          <w:p w:rsidR="0089006D" w:rsidRPr="00D344F1" w:rsidRDefault="0089006D" w:rsidP="00762171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5.3</w:t>
            </w:r>
          </w:p>
        </w:tc>
        <w:tc>
          <w:tcPr>
            <w:tcW w:w="4641" w:type="pct"/>
            <w:tcBorders>
              <w:top w:val="nil"/>
              <w:bottom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Practical Tests:</w:t>
            </w:r>
          </w:p>
          <w:p w:rsidR="0089006D" w:rsidRPr="00121D2F" w:rsidRDefault="0089006D" w:rsidP="00762171">
            <w:pPr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Structured orals and spot test related to subjects taught in the 2</w:t>
            </w:r>
            <w:r w:rsidRPr="00121D2F">
              <w:rPr>
                <w:rFonts w:ascii="Palatino Linotype" w:hAnsi="Palatino Linotype"/>
                <w:sz w:val="22"/>
                <w:szCs w:val="22"/>
                <w:vertAlign w:val="superscript"/>
              </w:rPr>
              <w:t>nd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year.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641" w:type="pct"/>
            <w:tcBorders>
              <w:top w:val="single" w:sz="4" w:space="0" w:color="auto"/>
            </w:tcBorders>
          </w:tcPr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Marking Criteria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</w:tcPr>
          <w:p w:rsidR="0089006D" w:rsidRPr="00D344F1" w:rsidRDefault="0089006D" w:rsidP="00762171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6.1</w:t>
            </w:r>
          </w:p>
        </w:tc>
        <w:tc>
          <w:tcPr>
            <w:tcW w:w="4641" w:type="pct"/>
          </w:tcPr>
          <w:p w:rsidR="0089006D" w:rsidRPr="00121D2F" w:rsidRDefault="0089006D" w:rsidP="00762171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 xml:space="preserve">Essay questions </w:t>
            </w:r>
          </w:p>
          <w:p w:rsidR="0089006D" w:rsidRPr="00121D2F" w:rsidRDefault="0089006D" w:rsidP="00762171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College Common (0-100) Grading Scheme.</w:t>
            </w:r>
          </w:p>
          <w:p w:rsidR="0089006D" w:rsidRPr="00121D2F" w:rsidRDefault="0089006D" w:rsidP="00762171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The College Common Grading Scheme will be used as appropriate for extended pieces of writing with 0-10 marking on short answer responses of a factual nature 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</w:tcPr>
          <w:p w:rsidR="0089006D" w:rsidRPr="00D344F1" w:rsidRDefault="0089006D" w:rsidP="0008020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6.2</w:t>
            </w:r>
          </w:p>
        </w:tc>
        <w:tc>
          <w:tcPr>
            <w:tcW w:w="4641" w:type="pct"/>
          </w:tcPr>
          <w:p w:rsidR="0089006D" w:rsidRPr="00121D2F" w:rsidRDefault="0089006D" w:rsidP="00762171">
            <w:pPr>
              <w:pStyle w:val="Header"/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>Multiple Choice Questions and Extended Matching Questions:</w:t>
            </w:r>
          </w:p>
          <w:p w:rsidR="0089006D" w:rsidRPr="00121D2F" w:rsidRDefault="0089006D" w:rsidP="00762171">
            <w:pPr>
              <w:autoSpaceDE w:val="0"/>
              <w:autoSpaceDN w:val="0"/>
              <w:adjustRightInd w:val="0"/>
              <w:rPr>
                <w:rFonts w:ascii="Palatino Linotype" w:hAnsi="Palatino Linotype"/>
                <w:lang w:val="en-US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lastRenderedPageBreak/>
              <w:t>The number of marks available for each type of question will be clearly stated on the examination paper. A question left unanswered or deleted by the candidate will score zero.</w:t>
            </w:r>
            <w:r w:rsidRPr="00121D2F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The pass mark for the MCQ and EMQ examinations as a whole will be set according to approved and accepted standard setting protocols, </w:t>
            </w:r>
            <w:proofErr w:type="spellStart"/>
            <w:r w:rsidRPr="00121D2F">
              <w:rPr>
                <w:rFonts w:ascii="Palatino Linotype" w:hAnsi="Palatino Linotype"/>
                <w:sz w:val="22"/>
                <w:szCs w:val="22"/>
                <w:lang w:val="en-US"/>
              </w:rPr>
              <w:t>normalised</w:t>
            </w:r>
            <w:proofErr w:type="spellEnd"/>
            <w:r w:rsidRPr="00121D2F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and then scaled.</w:t>
            </w:r>
          </w:p>
          <w:p w:rsidR="0089006D" w:rsidRPr="00121D2F" w:rsidRDefault="0089006D" w:rsidP="00762171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</w:tcPr>
          <w:p w:rsidR="0089006D" w:rsidRPr="00D344F1" w:rsidRDefault="0089006D" w:rsidP="0008020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lastRenderedPageBreak/>
              <w:t>6.3</w:t>
            </w:r>
          </w:p>
        </w:tc>
        <w:tc>
          <w:tcPr>
            <w:tcW w:w="4641" w:type="pct"/>
          </w:tcPr>
          <w:p w:rsidR="0089006D" w:rsidRPr="00121D2F" w:rsidRDefault="0089006D" w:rsidP="00762171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OSPVEs and Spot Tests</w:t>
            </w:r>
          </w:p>
          <w:p w:rsidR="0089006D" w:rsidRPr="00121D2F" w:rsidRDefault="0089006D" w:rsidP="00080205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A pass mark will be set for each station. The pass mark for the examination as a whole will be set according to approved and accepted standard setting protocols, including if appropriate a minimum number of stations to be passed, then normalised and scaled.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bottom w:val="single" w:sz="4" w:space="0" w:color="auto"/>
            </w:tcBorders>
          </w:tcPr>
          <w:p w:rsidR="0089006D" w:rsidRPr="00D344F1" w:rsidRDefault="0089006D" w:rsidP="00762171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6.4</w:t>
            </w:r>
          </w:p>
        </w:tc>
        <w:tc>
          <w:tcPr>
            <w:tcW w:w="4641" w:type="pct"/>
            <w:tcBorders>
              <w:bottom w:val="single" w:sz="4" w:space="0" w:color="auto"/>
            </w:tcBorders>
          </w:tcPr>
          <w:p w:rsidR="0089006D" w:rsidRPr="00121D2F" w:rsidRDefault="0089006D" w:rsidP="00762171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Structured Orals and Short Answer questions</w:t>
            </w:r>
          </w:p>
          <w:p w:rsidR="0089006D" w:rsidRPr="00121D2F" w:rsidRDefault="0089006D" w:rsidP="00B12C6E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>Each structured oral examination will be marked out of a maximum of ten marks with students accumulating marks by answering questions of increasing complexity. Highest marks will be obtained by students demonstrating integration of their knowledge.</w:t>
            </w:r>
          </w:p>
        </w:tc>
      </w:tr>
    </w:tbl>
    <w:p w:rsidR="0089006D" w:rsidRPr="00121D2F" w:rsidRDefault="0089006D">
      <w:pPr>
        <w:rPr>
          <w:rFonts w:ascii="Palatino Linotype" w:hAnsi="Palatino Linotype"/>
          <w:sz w:val="22"/>
          <w:szCs w:val="22"/>
        </w:rPr>
        <w:sectPr w:rsidR="0089006D" w:rsidRPr="00121D2F" w:rsidSect="00AB1F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247" w:bottom="794" w:left="1247" w:header="284" w:footer="567" w:gutter="0"/>
          <w:cols w:space="708"/>
          <w:docGrid w:linePitch="360"/>
        </w:sectPr>
      </w:pPr>
    </w:p>
    <w:p w:rsidR="0089006D" w:rsidRPr="00121D2F" w:rsidRDefault="0089006D">
      <w:pPr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142" w:type="dxa"/>
        </w:tblCellMar>
        <w:tblLook w:val="0000"/>
      </w:tblPr>
      <w:tblGrid>
        <w:gridCol w:w="692"/>
        <w:gridCol w:w="4055"/>
        <w:gridCol w:w="1760"/>
        <w:gridCol w:w="1159"/>
        <w:gridCol w:w="1962"/>
      </w:tblGrid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08020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08020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Allocation of Marks and any additional requirements</w:t>
            </w:r>
          </w:p>
        </w:tc>
      </w:tr>
      <w:tr w:rsidR="0089006D" w:rsidRPr="00121D2F" w:rsidTr="00121D2F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7.1</w:t>
            </w:r>
          </w:p>
        </w:tc>
        <w:tc>
          <w:tcPr>
            <w:tcW w:w="2106" w:type="pct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914" w:type="pct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First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Sit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</w:tcPr>
          <w:p w:rsidR="0089006D" w:rsidRPr="00121D2F" w:rsidRDefault="0089006D" w:rsidP="00121D2F">
            <w:pPr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Resit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nil"/>
            </w:tcBorders>
          </w:tcPr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89006D" w:rsidRPr="00121D2F" w:rsidTr="00121D2F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</w:p>
        </w:tc>
        <w:tc>
          <w:tcPr>
            <w:tcW w:w="2106" w:type="pct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Written Paper 1</w:t>
            </w:r>
          </w:p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Written Paper 2</w:t>
            </w:r>
          </w:p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Written Paper 3</w:t>
            </w:r>
          </w:p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Spot test</w:t>
            </w:r>
          </w:p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Structured ISF oral</w:t>
            </w:r>
          </w:p>
          <w:p w:rsidR="0089006D" w:rsidRPr="00121D2F" w:rsidRDefault="0089006D" w:rsidP="00677BB5">
            <w:pPr>
              <w:ind w:left="360"/>
              <w:rPr>
                <w:rFonts w:ascii="Palatino Linotype" w:hAnsi="Palatino Linotype"/>
              </w:rPr>
            </w:pPr>
          </w:p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In course assessment 1</w:t>
            </w:r>
          </w:p>
          <w:p w:rsidR="0089006D" w:rsidRPr="00121D2F" w:rsidRDefault="0089006D" w:rsidP="00677BB5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In course assessment 2</w:t>
            </w:r>
          </w:p>
          <w:p w:rsidR="0089006D" w:rsidRPr="00A63538" w:rsidRDefault="0089006D" w:rsidP="00A63538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In course assessment 3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21.25</w:t>
            </w: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21.25</w:t>
            </w: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21.25</w:t>
            </w: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10.625</w:t>
            </w: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10.625</w:t>
            </w: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5</w:t>
            </w:r>
          </w:p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5</w:t>
            </w:r>
          </w:p>
          <w:p w:rsidR="0089006D" w:rsidRPr="00A63538" w:rsidRDefault="0089006D" w:rsidP="00A63538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5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</w:tcPr>
          <w:p w:rsidR="0089006D" w:rsidRPr="00121D2F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25</w:t>
            </w:r>
          </w:p>
          <w:p w:rsidR="0089006D" w:rsidRPr="00121D2F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25</w:t>
            </w:r>
          </w:p>
          <w:p w:rsidR="0089006D" w:rsidRPr="00121D2F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25</w:t>
            </w:r>
          </w:p>
          <w:p w:rsidR="0089006D" w:rsidRPr="00121D2F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12.5</w:t>
            </w:r>
          </w:p>
          <w:p w:rsidR="0089006D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12.5</w:t>
            </w:r>
          </w:p>
          <w:p w:rsidR="0089006D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</w:p>
          <w:p w:rsidR="0089006D" w:rsidRPr="00121D2F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0</w:t>
            </w:r>
          </w:p>
          <w:p w:rsidR="0089006D" w:rsidRDefault="0089006D" w:rsidP="00273F95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0</w:t>
            </w:r>
          </w:p>
          <w:p w:rsidR="0089006D" w:rsidRPr="00121D2F" w:rsidRDefault="0089006D" w:rsidP="00273F95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</w:tcBorders>
          </w:tcPr>
          <w:p w:rsidR="0089006D" w:rsidRPr="00121D2F" w:rsidRDefault="0089006D" w:rsidP="00677BB5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89006D" w:rsidRPr="00121D2F" w:rsidTr="00121D2F">
        <w:trPr>
          <w:cantSplit/>
          <w:trHeight w:val="113"/>
        </w:trPr>
        <w:tc>
          <w:tcPr>
            <w:tcW w:w="359" w:type="pct"/>
            <w:tcBorders>
              <w:top w:val="nil"/>
              <w:bottom w:val="single" w:sz="4" w:space="0" w:color="auto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7.2</w:t>
            </w:r>
          </w:p>
        </w:tc>
        <w:tc>
          <w:tcPr>
            <w:tcW w:w="4641" w:type="pct"/>
            <w:gridSpan w:val="4"/>
            <w:tcBorders>
              <w:top w:val="nil"/>
              <w:bottom w:val="single" w:sz="4" w:space="0" w:color="auto"/>
            </w:tcBorders>
          </w:tcPr>
          <w:p w:rsidR="0089006D" w:rsidRPr="00121D2F" w:rsidRDefault="0089006D" w:rsidP="00B12C6E">
            <w:pPr>
              <w:pStyle w:val="BodyText3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</w:rPr>
              <w:t xml:space="preserve">For the purposes of </w:t>
            </w:r>
            <w:r w:rsidRPr="00121D2F">
              <w:rPr>
                <w:rFonts w:ascii="Palatino Linotype" w:hAnsi="Palatino Linotype"/>
                <w:b/>
                <w:bCs/>
              </w:rPr>
              <w:t>8.</w:t>
            </w:r>
            <w:r w:rsidRPr="00121D2F">
              <w:rPr>
                <w:rFonts w:ascii="Palatino Linotype" w:hAnsi="Palatino Linotype"/>
              </w:rPr>
              <w:t xml:space="preserve"> </w:t>
            </w:r>
            <w:proofErr w:type="gramStart"/>
            <w:r w:rsidRPr="00121D2F">
              <w:rPr>
                <w:rFonts w:ascii="Palatino Linotype" w:hAnsi="Palatino Linotype"/>
              </w:rPr>
              <w:t>and</w:t>
            </w:r>
            <w:proofErr w:type="gramEnd"/>
            <w:r w:rsidRPr="00121D2F">
              <w:rPr>
                <w:rFonts w:ascii="Palatino Linotype" w:hAnsi="Palatino Linotype"/>
              </w:rPr>
              <w:t xml:space="preserve"> </w:t>
            </w:r>
            <w:r w:rsidRPr="00121D2F">
              <w:rPr>
                <w:rFonts w:ascii="Palatino Linotype" w:hAnsi="Palatino Linotype"/>
                <w:b/>
                <w:bCs/>
              </w:rPr>
              <w:t xml:space="preserve">10. </w:t>
            </w:r>
            <w:r w:rsidRPr="00121D2F">
              <w:rPr>
                <w:rFonts w:ascii="Palatino Linotype" w:hAnsi="Palatino Linotype"/>
              </w:rPr>
              <w:t>below,</w:t>
            </w:r>
          </w:p>
          <w:p w:rsidR="0089006D" w:rsidRPr="00121D2F" w:rsidRDefault="0089006D" w:rsidP="00B12C6E">
            <w:pPr>
              <w:pStyle w:val="BodyText3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components</w:t>
            </w:r>
            <w:proofErr w:type="gramEnd"/>
            <w:r w:rsidRPr="00121D2F">
              <w:rPr>
                <w:rFonts w:ascii="Palatino Linotype" w:hAnsi="Palatino Linotype"/>
              </w:rPr>
              <w:t xml:space="preserve"> </w:t>
            </w:r>
            <w:proofErr w:type="spellStart"/>
            <w:r w:rsidRPr="00121D2F">
              <w:rPr>
                <w:rFonts w:ascii="Palatino Linotype" w:hAnsi="Palatino Linotype"/>
              </w:rPr>
              <w:t>i</w:t>
            </w:r>
            <w:proofErr w:type="spellEnd"/>
            <w:r w:rsidRPr="00121D2F">
              <w:rPr>
                <w:rFonts w:ascii="Palatino Linotype" w:hAnsi="Palatino Linotype"/>
              </w:rPr>
              <w:t xml:space="preserve">. and iv. </w:t>
            </w:r>
            <w:proofErr w:type="gramStart"/>
            <w:r w:rsidRPr="00121D2F">
              <w:rPr>
                <w:rFonts w:ascii="Palatino Linotype" w:hAnsi="Palatino Linotype"/>
              </w:rPr>
              <w:t>are</w:t>
            </w:r>
            <w:proofErr w:type="gramEnd"/>
            <w:r w:rsidRPr="00121D2F">
              <w:rPr>
                <w:rFonts w:ascii="Palatino Linotype" w:hAnsi="Palatino Linotype"/>
              </w:rPr>
              <w:t xml:space="preserve"> grouped together as 1. Essential Knowledge Elements,</w:t>
            </w:r>
          </w:p>
          <w:p w:rsidR="0089006D" w:rsidRPr="00121D2F" w:rsidRDefault="0089006D" w:rsidP="00B12C6E">
            <w:pPr>
              <w:pStyle w:val="BodyText3"/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</w:rPr>
              <w:t>And</w:t>
            </w:r>
          </w:p>
          <w:p w:rsidR="0089006D" w:rsidRPr="00121D2F" w:rsidRDefault="0089006D" w:rsidP="00B12C6E">
            <w:pPr>
              <w:rPr>
                <w:rFonts w:ascii="Palatino Linotype" w:hAnsi="Palatino Linotype"/>
                <w:bCs/>
              </w:rPr>
            </w:pP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component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>s</w:t>
            </w:r>
            <w:proofErr w:type="gramEnd"/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ii., iii. </w:t>
            </w:r>
            <w:proofErr w:type="gramStart"/>
            <w:r w:rsidRPr="00121D2F">
              <w:rPr>
                <w:rFonts w:ascii="Palatino Linotype" w:hAnsi="Palatino Linotype"/>
                <w:sz w:val="22"/>
                <w:szCs w:val="22"/>
              </w:rPr>
              <w:t>and</w:t>
            </w:r>
            <w:proofErr w:type="gramEnd"/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v. are grouped together as 2. Problem Solving and Interpretation Elements.</w:t>
            </w:r>
          </w:p>
        </w:tc>
      </w:tr>
      <w:tr w:rsidR="0089006D" w:rsidRPr="00121D2F" w:rsidTr="00121D2F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Requirements to Pass Overall 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8.1</w:t>
            </w:r>
          </w:p>
        </w:tc>
        <w:tc>
          <w:tcPr>
            <w:tcW w:w="4641" w:type="pct"/>
            <w:gridSpan w:val="4"/>
            <w:tcBorders>
              <w:top w:val="nil"/>
              <w:bottom w:val="nil"/>
            </w:tcBorders>
          </w:tcPr>
          <w:p w:rsidR="0089006D" w:rsidRPr="00273F95" w:rsidRDefault="0089006D" w:rsidP="00677BB5">
            <w:pPr>
              <w:pStyle w:val="Heading1"/>
              <w:spacing w:before="0" w:after="0"/>
              <w:rPr>
                <w:rFonts w:ascii="Palatino Linotype" w:hAnsi="Palatino Linotype"/>
                <w:sz w:val="22"/>
                <w:szCs w:val="22"/>
              </w:rPr>
            </w:pPr>
            <w:r w:rsidRPr="00121D2F">
              <w:rPr>
                <w:rFonts w:ascii="Palatino Linotype" w:hAnsi="Palatino Linotype" w:cs="Times New Roman"/>
                <w:kern w:val="0"/>
                <w:sz w:val="22"/>
                <w:szCs w:val="22"/>
                <w:lang w:eastAsia="en-GB"/>
              </w:rPr>
              <w:t>First Sit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</w:p>
        </w:tc>
        <w:tc>
          <w:tcPr>
            <w:tcW w:w="4641" w:type="pct"/>
            <w:gridSpan w:val="4"/>
            <w:tcBorders>
              <w:top w:val="nil"/>
              <w:bottom w:val="nil"/>
            </w:tcBorders>
          </w:tcPr>
          <w:p w:rsidR="0089006D" w:rsidRPr="00121D2F" w:rsidRDefault="0089006D" w:rsidP="00891A58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Following scaling of the marks,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candidates must gain </w:t>
            </w:r>
            <w:r>
              <w:rPr>
                <w:rFonts w:ascii="Palatino Linotype" w:hAnsi="Palatino Linotype" w:cs="Arial"/>
                <w:sz w:val="23"/>
                <w:szCs w:val="23"/>
              </w:rPr>
              <w:t>a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n average mark of 50% or more aggregated from the marks listed under </w:t>
            </w:r>
            <w:r>
              <w:rPr>
                <w:rFonts w:ascii="Palatino Linotype" w:hAnsi="Palatino Linotype" w:cs="Arial"/>
                <w:sz w:val="23"/>
                <w:szCs w:val="23"/>
              </w:rPr>
              <w:t>“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First Sit”, </w:t>
            </w:r>
            <w:r>
              <w:rPr>
                <w:rFonts w:ascii="Palatino Linotype" w:hAnsi="Palatino Linotype" w:cs="Arial"/>
                <w:sz w:val="23"/>
                <w:szCs w:val="23"/>
              </w:rPr>
              <w:t>components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 </w:t>
            </w:r>
            <w:proofErr w:type="spellStart"/>
            <w:r w:rsidRPr="005B5A83">
              <w:rPr>
                <w:rFonts w:ascii="Palatino Linotype" w:hAnsi="Palatino Linotype" w:cs="Arial"/>
                <w:sz w:val="23"/>
                <w:szCs w:val="23"/>
              </w:rPr>
              <w:t>i</w:t>
            </w:r>
            <w:proofErr w:type="spellEnd"/>
            <w:r>
              <w:rPr>
                <w:rFonts w:ascii="Palatino Linotype" w:hAnsi="Palatino Linotype" w:cs="Arial"/>
                <w:sz w:val="23"/>
                <w:szCs w:val="23"/>
              </w:rPr>
              <w:t xml:space="preserve">. 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>to vi</w:t>
            </w:r>
            <w:r>
              <w:rPr>
                <w:rFonts w:ascii="Palatino Linotype" w:hAnsi="Palatino Linotype" w:cs="Arial"/>
                <w:sz w:val="23"/>
                <w:szCs w:val="23"/>
              </w:rPr>
              <w:t>ii.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 </w:t>
            </w:r>
            <w:proofErr w:type="gramStart"/>
            <w:r w:rsidRPr="005B5A83">
              <w:rPr>
                <w:rFonts w:ascii="Palatino Linotype" w:hAnsi="Palatino Linotype" w:cs="Arial"/>
                <w:sz w:val="23"/>
                <w:szCs w:val="23"/>
              </w:rPr>
              <w:t>in</w:t>
            </w:r>
            <w:proofErr w:type="gramEnd"/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 7</w:t>
            </w:r>
            <w:r>
              <w:rPr>
                <w:rFonts w:ascii="Palatino Linotype" w:hAnsi="Palatino Linotype" w:cs="Arial"/>
                <w:sz w:val="23"/>
                <w:szCs w:val="23"/>
              </w:rPr>
              <w:t xml:space="preserve">.1 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>above</w:t>
            </w:r>
            <w:r w:rsidRPr="005B5A83">
              <w:rPr>
                <w:rFonts w:ascii="Palatino Linotype" w:hAnsi="Palatino Linotype"/>
                <w:sz w:val="23"/>
                <w:szCs w:val="23"/>
              </w:rPr>
              <w:t>.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Candidates must gain at least 40% for the combined ESSENTIAL KNOWLEDGE elements (Written paper 1 plus the Spot test) and at least 40% for the combined PROBLEM SOLVING AND INTERPRETATION elements (Written papers 2 &amp; 3, plus ISF Structured Oral) of the examinations.</w:t>
            </w:r>
          </w:p>
          <w:p w:rsidR="0089006D" w:rsidRPr="00121D2F" w:rsidRDefault="0089006D" w:rsidP="00677BB5">
            <w:pPr>
              <w:rPr>
                <w:rFonts w:ascii="Palatino Linotype" w:hAnsi="Palatino Linotype"/>
              </w:rPr>
            </w:pPr>
          </w:p>
          <w:p w:rsidR="0089006D" w:rsidRPr="00121D2F" w:rsidRDefault="0089006D" w:rsidP="00080205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Candidates who do not pass at the first attempt will be required to </w:t>
            </w:r>
            <w:proofErr w:type="spellStart"/>
            <w:r w:rsidRPr="00121D2F">
              <w:rPr>
                <w:rFonts w:ascii="Palatino Linotype" w:hAnsi="Palatino Linotype"/>
                <w:sz w:val="22"/>
                <w:szCs w:val="22"/>
              </w:rPr>
              <w:t>resit</w:t>
            </w:r>
            <w:proofErr w:type="spellEnd"/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only components </w:t>
            </w:r>
            <w:proofErr w:type="spellStart"/>
            <w:r w:rsidRPr="00121D2F">
              <w:rPr>
                <w:rFonts w:ascii="Palatino Linotype" w:hAnsi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to v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listed in </w:t>
            </w:r>
            <w:r w:rsidRPr="00B30EAA">
              <w:rPr>
                <w:rFonts w:ascii="Palatino Linotype" w:hAnsi="Palatino Linotype"/>
                <w:sz w:val="22"/>
                <w:szCs w:val="22"/>
              </w:rPr>
              <w:t>7</w:t>
            </w:r>
            <w:r>
              <w:rPr>
                <w:rFonts w:ascii="Palatino Linotype" w:hAnsi="Palatino Linotype"/>
                <w:sz w:val="22"/>
                <w:szCs w:val="22"/>
              </w:rPr>
              <w:t>.1</w:t>
            </w:r>
            <w:r w:rsidRPr="00B30EA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above. 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8.2</w:t>
            </w:r>
          </w:p>
        </w:tc>
        <w:tc>
          <w:tcPr>
            <w:tcW w:w="4641" w:type="pct"/>
            <w:gridSpan w:val="4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pStyle w:val="Heading1"/>
              <w:spacing w:before="0" w:after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121D2F">
              <w:rPr>
                <w:rFonts w:ascii="Palatino Linotype" w:hAnsi="Palatino Linotype"/>
                <w:sz w:val="22"/>
                <w:szCs w:val="22"/>
              </w:rPr>
              <w:t>Resit</w:t>
            </w:r>
            <w:proofErr w:type="spellEnd"/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641" w:type="pct"/>
            <w:gridSpan w:val="4"/>
            <w:tcBorders>
              <w:top w:val="nil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Following scaling of the marks,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candidates must gain </w:t>
            </w:r>
            <w:r>
              <w:rPr>
                <w:rFonts w:ascii="Palatino Linotype" w:hAnsi="Palatino Linotype" w:cs="Arial"/>
                <w:sz w:val="23"/>
                <w:szCs w:val="23"/>
              </w:rPr>
              <w:t>a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n average mark of 50% or more aggregated from the marks listed under </w:t>
            </w:r>
            <w:r>
              <w:rPr>
                <w:rFonts w:ascii="Palatino Linotype" w:hAnsi="Palatino Linotype" w:cs="Arial"/>
                <w:sz w:val="23"/>
                <w:szCs w:val="23"/>
              </w:rPr>
              <w:t>“</w:t>
            </w:r>
            <w:proofErr w:type="spellStart"/>
            <w:r>
              <w:rPr>
                <w:rFonts w:ascii="Palatino Linotype" w:hAnsi="Palatino Linotype" w:cs="Arial"/>
                <w:sz w:val="23"/>
                <w:szCs w:val="23"/>
              </w:rPr>
              <w:t>Resit</w:t>
            </w:r>
            <w:proofErr w:type="spellEnd"/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”, </w:t>
            </w:r>
            <w:r>
              <w:rPr>
                <w:rFonts w:ascii="Palatino Linotype" w:hAnsi="Palatino Linotype" w:cs="Arial"/>
                <w:sz w:val="23"/>
                <w:szCs w:val="23"/>
              </w:rPr>
              <w:t>components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 </w:t>
            </w:r>
            <w:proofErr w:type="spellStart"/>
            <w:r w:rsidRPr="005B5A83">
              <w:rPr>
                <w:rFonts w:ascii="Palatino Linotype" w:hAnsi="Palatino Linotype" w:cs="Arial"/>
                <w:sz w:val="23"/>
                <w:szCs w:val="23"/>
              </w:rPr>
              <w:t>i</w:t>
            </w:r>
            <w:proofErr w:type="spellEnd"/>
            <w:r>
              <w:rPr>
                <w:rFonts w:ascii="Palatino Linotype" w:hAnsi="Palatino Linotype" w:cs="Arial"/>
                <w:sz w:val="23"/>
                <w:szCs w:val="23"/>
              </w:rPr>
              <w:t xml:space="preserve">. 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>to v</w:t>
            </w:r>
            <w:r>
              <w:rPr>
                <w:rFonts w:ascii="Palatino Linotype" w:hAnsi="Palatino Linotype" w:cs="Arial"/>
                <w:sz w:val="23"/>
                <w:szCs w:val="23"/>
              </w:rPr>
              <w:t>.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 xml:space="preserve"> in 7</w:t>
            </w:r>
            <w:r>
              <w:rPr>
                <w:rFonts w:ascii="Palatino Linotype" w:hAnsi="Palatino Linotype" w:cs="Arial"/>
                <w:sz w:val="23"/>
                <w:szCs w:val="23"/>
              </w:rPr>
              <w:t xml:space="preserve">.1 </w:t>
            </w:r>
            <w:r w:rsidRPr="005B5A83">
              <w:rPr>
                <w:rFonts w:ascii="Palatino Linotype" w:hAnsi="Palatino Linotype" w:cs="Arial"/>
                <w:sz w:val="23"/>
                <w:szCs w:val="23"/>
              </w:rPr>
              <w:t>above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>. Candidates must gain at least 40% for the combined ESSENTIAL KNOWLEDGE elements (Written paper 1 plus the Spot test) and at least 40% for the combined PROBLEM SOLVING AND INTERPRETATION elements (Written papers 2 &amp; 3, plus ISF Structured Oral) of the examinations.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/>
                <w:sz w:val="22"/>
                <w:szCs w:val="22"/>
              </w:rPr>
              <w:t>Consequences of Failure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9.1</w:t>
            </w:r>
          </w:p>
        </w:tc>
        <w:tc>
          <w:tcPr>
            <w:tcW w:w="4641" w:type="pct"/>
            <w:gridSpan w:val="4"/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A candidate who fails at the first attempt is required to take the </w:t>
            </w:r>
            <w:proofErr w:type="spellStart"/>
            <w:r w:rsidRPr="00121D2F">
              <w:rPr>
                <w:rFonts w:ascii="Palatino Linotype" w:hAnsi="Palatino Linotype"/>
                <w:sz w:val="22"/>
                <w:szCs w:val="22"/>
              </w:rPr>
              <w:t>resit</w:t>
            </w:r>
            <w:proofErr w:type="spellEnd"/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or withdraw from the course. The overall mark obtained at the second attempt will be no greater than 50%.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bottom w:val="single" w:sz="4" w:space="0" w:color="auto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9.2</w:t>
            </w:r>
          </w:p>
        </w:tc>
        <w:tc>
          <w:tcPr>
            <w:tcW w:w="4641" w:type="pct"/>
            <w:gridSpan w:val="4"/>
            <w:tcBorders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A candidate who fails at the </w:t>
            </w:r>
            <w:proofErr w:type="spellStart"/>
            <w:r w:rsidRPr="00121D2F">
              <w:rPr>
                <w:rFonts w:ascii="Palatino Linotype" w:hAnsi="Palatino Linotype"/>
                <w:sz w:val="22"/>
                <w:szCs w:val="22"/>
              </w:rPr>
              <w:t>resit</w:t>
            </w:r>
            <w:proofErr w:type="spellEnd"/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will be required to withdraw from the course. S/he has a right of appeal as described in College Regulations.</w:t>
            </w:r>
          </w:p>
        </w:tc>
      </w:tr>
    </w:tbl>
    <w:p w:rsidR="0089006D" w:rsidRPr="00121D2F" w:rsidRDefault="0089006D">
      <w:pPr>
        <w:rPr>
          <w:rFonts w:ascii="Palatino Linotype" w:hAnsi="Palatino Linotype"/>
          <w:sz w:val="22"/>
          <w:szCs w:val="22"/>
        </w:rPr>
        <w:sectPr w:rsidR="0089006D" w:rsidRPr="00121D2F" w:rsidSect="00AB1F95">
          <w:pgSz w:w="11906" w:h="16838" w:code="9"/>
          <w:pgMar w:top="680" w:right="1247" w:bottom="794" w:left="1247" w:header="284" w:footer="567" w:gutter="0"/>
          <w:cols w:space="708"/>
          <w:docGrid w:linePitch="360"/>
        </w:sectPr>
      </w:pPr>
    </w:p>
    <w:p w:rsidR="0089006D" w:rsidRPr="00121D2F" w:rsidRDefault="0089006D">
      <w:pPr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142" w:type="dxa"/>
        </w:tblCellMar>
        <w:tblLook w:val="0000"/>
      </w:tblPr>
      <w:tblGrid>
        <w:gridCol w:w="691"/>
        <w:gridCol w:w="8937"/>
      </w:tblGrid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641" w:type="pct"/>
            <w:tcBorders>
              <w:top w:val="single" w:sz="4" w:space="0" w:color="auto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Classification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10.1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A candidate who, at the first attempt, obtains an over</w:t>
            </w:r>
            <w:r>
              <w:rPr>
                <w:rFonts w:ascii="Palatino Linotype" w:hAnsi="Palatino Linotype"/>
                <w:sz w:val="22"/>
                <w:szCs w:val="22"/>
              </w:rPr>
              <w:t>all mark of 70% or more, with a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mark of at least 65% gained in each of the two elements (1. Essential Knowledge AND 2. Problem Solving and Interpretation), will be awarded a pass with distinction.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10.2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A candidate who, at the first attempt, obtains an average mark of 65% or more but who does not meet the criteria for the award of a pass with distinction, will be awarded a pass with merit, provided each of the two elements (1. Essential Knowledge AND 2. Problem Solving and Interpretation) is passed.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nil"/>
              <w:bottom w:val="single" w:sz="4" w:space="0" w:color="auto"/>
            </w:tcBorders>
          </w:tcPr>
          <w:p w:rsidR="0089006D" w:rsidRPr="00D344F1" w:rsidRDefault="0089006D" w:rsidP="00677BB5">
            <w:pPr>
              <w:rPr>
                <w:rFonts w:ascii="Palatino Linotype" w:hAnsi="Palatino Linotype"/>
              </w:rPr>
            </w:pPr>
            <w:r w:rsidRPr="00D344F1">
              <w:rPr>
                <w:rFonts w:ascii="Palatino Linotype" w:hAnsi="Palatino Linotype"/>
                <w:sz w:val="22"/>
                <w:szCs w:val="22"/>
              </w:rPr>
              <w:t>10.3</w:t>
            </w:r>
          </w:p>
        </w:tc>
        <w:tc>
          <w:tcPr>
            <w:tcW w:w="4641" w:type="pct"/>
            <w:tcBorders>
              <w:top w:val="nil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A candidate who passes Year 2 but does not proceed with study will be eligible for the award of Diploma of Higher Education.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283FFA">
            <w:pPr>
              <w:rPr>
                <w:rFonts w:ascii="Palatino Linotype" w:hAnsi="Palatino Linotype"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Disclosure of Marks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>Results will be published by candidate number.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nil"/>
              <w:right w:val="nil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641" w:type="pct"/>
            <w:tcBorders>
              <w:top w:val="single" w:sz="4" w:space="0" w:color="auto"/>
              <w:left w:val="nil"/>
              <w:bottom w:val="nil"/>
            </w:tcBorders>
          </w:tcPr>
          <w:p w:rsidR="0089006D" w:rsidRPr="001113C9" w:rsidRDefault="0089006D" w:rsidP="001113C9">
            <w:pPr>
              <w:rPr>
                <w:rFonts w:ascii="Palatino Linotype" w:hAnsi="Palatino Linotype"/>
                <w:u w:val="single"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Absence from in course summative assessments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1113C9" w:rsidRDefault="0089006D" w:rsidP="00677BB5">
            <w:pPr>
              <w:rPr>
                <w:rFonts w:ascii="Palatino Linotype" w:hAnsi="Palatino Linotype"/>
              </w:rPr>
            </w:pPr>
            <w:r w:rsidRPr="001113C9">
              <w:rPr>
                <w:rFonts w:ascii="Palatino Linotype" w:hAnsi="Palatino Linotype"/>
                <w:sz w:val="22"/>
                <w:szCs w:val="22"/>
              </w:rPr>
              <w:t>12.1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283FFA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 xml:space="preserve">Where a student has an </w:t>
            </w:r>
            <w:r w:rsidRPr="00121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allowable </w:t>
            </w:r>
            <w:r w:rsidRPr="00121D2F">
              <w:rPr>
                <w:rFonts w:ascii="Palatino Linotype" w:hAnsi="Palatino Linotype" w:cs="Arial"/>
                <w:sz w:val="22"/>
                <w:szCs w:val="22"/>
              </w:rPr>
              <w:t>absence, s/he will be marked absent (A) from a summative assessment. Where a student has an A, and there are three or more in-course assessments in the year, the marks awarded will be the average of the other in-course assessment marks gained by the student.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1113C9" w:rsidRDefault="0089006D" w:rsidP="00677BB5">
            <w:pPr>
              <w:rPr>
                <w:rFonts w:ascii="Palatino Linotype" w:hAnsi="Palatino Linotype"/>
              </w:rPr>
            </w:pPr>
            <w:r w:rsidRPr="001113C9">
              <w:rPr>
                <w:rFonts w:ascii="Palatino Linotype" w:hAnsi="Palatino Linotype"/>
                <w:sz w:val="22"/>
                <w:szCs w:val="22"/>
              </w:rPr>
              <w:t>12.2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D344F1" w:rsidRDefault="0089006D" w:rsidP="00D344F1">
            <w:pPr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>90% of the marks for the year must be attributed to results of direct assessment i.e. no more than 10% of marks can be attributed to Absent (A) marks.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1113C9" w:rsidRDefault="0089006D" w:rsidP="00677BB5">
            <w:pPr>
              <w:rPr>
                <w:rFonts w:ascii="Palatino Linotype" w:hAnsi="Palatino Linotype"/>
              </w:rPr>
            </w:pPr>
            <w:r w:rsidRPr="001113C9">
              <w:rPr>
                <w:rFonts w:ascii="Palatino Linotype" w:hAnsi="Palatino Linotype"/>
                <w:sz w:val="22"/>
                <w:szCs w:val="22"/>
              </w:rPr>
              <w:t>12.3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283FFA">
            <w:pPr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 xml:space="preserve">An allowable absence is one that is for a significant unforeseeable event such as illness. 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nil"/>
              <w:bottom w:val="nil"/>
            </w:tcBorders>
          </w:tcPr>
          <w:p w:rsidR="0089006D" w:rsidRPr="001113C9" w:rsidRDefault="0089006D" w:rsidP="00677BB5">
            <w:pPr>
              <w:rPr>
                <w:rFonts w:ascii="Palatino Linotype" w:hAnsi="Palatino Linotype"/>
              </w:rPr>
            </w:pPr>
            <w:r w:rsidRPr="001113C9">
              <w:rPr>
                <w:rFonts w:ascii="Palatino Linotype" w:hAnsi="Palatino Linotype"/>
                <w:sz w:val="22"/>
                <w:szCs w:val="22"/>
              </w:rPr>
              <w:t>12.4</w:t>
            </w:r>
          </w:p>
        </w:tc>
        <w:tc>
          <w:tcPr>
            <w:tcW w:w="4641" w:type="pct"/>
            <w:tcBorders>
              <w:top w:val="nil"/>
              <w:bottom w:val="nil"/>
            </w:tcBorders>
          </w:tcPr>
          <w:p w:rsidR="0089006D" w:rsidRPr="00121D2F" w:rsidRDefault="0089006D" w:rsidP="00283FFA">
            <w:pPr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>Any other foreseeable absence will only be considered allowable if agreed by APRICOT and this will only apply in very strictly limited circumstances.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nil"/>
              <w:bottom w:val="single" w:sz="4" w:space="0" w:color="auto"/>
              <w:right w:val="nil"/>
            </w:tcBorders>
          </w:tcPr>
          <w:p w:rsidR="0089006D" w:rsidRPr="001113C9" w:rsidRDefault="0089006D" w:rsidP="00677BB5">
            <w:pPr>
              <w:rPr>
                <w:rFonts w:ascii="Palatino Linotype" w:hAnsi="Palatino Linotype"/>
              </w:rPr>
            </w:pPr>
            <w:r w:rsidRPr="001113C9">
              <w:rPr>
                <w:rFonts w:ascii="Palatino Linotype" w:hAnsi="Palatino Linotype"/>
                <w:sz w:val="22"/>
                <w:szCs w:val="22"/>
              </w:rPr>
              <w:t>12.5</w:t>
            </w:r>
          </w:p>
        </w:tc>
        <w:tc>
          <w:tcPr>
            <w:tcW w:w="4641" w:type="pct"/>
            <w:tcBorders>
              <w:top w:val="nil"/>
              <w:left w:val="nil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 w:cs="Arial"/>
              </w:rPr>
            </w:pPr>
            <w:r w:rsidRPr="00121D2F">
              <w:rPr>
                <w:rFonts w:ascii="Palatino Linotype" w:hAnsi="Palatino Linotype" w:cs="Arial"/>
                <w:sz w:val="22"/>
                <w:szCs w:val="22"/>
              </w:rPr>
              <w:t>A student absent for any other reason will be awarded 0 (zero) for the assessment.</w:t>
            </w:r>
          </w:p>
        </w:tc>
      </w:tr>
      <w:tr w:rsidR="0089006D" w:rsidRPr="00121D2F" w:rsidTr="001113C9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283FFA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Late submission of work</w:t>
            </w:r>
          </w:p>
          <w:p w:rsidR="0089006D" w:rsidRPr="00121D2F" w:rsidRDefault="0089006D" w:rsidP="00677BB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Reports or Project work submitted after the due deadline will be given a mark of zero. The only exception being if the student has been given an extension by the relevant tutor for an </w:t>
            </w:r>
            <w:r w:rsidRPr="00121D2F">
              <w:rPr>
                <w:rFonts w:ascii="Palatino Linotype" w:hAnsi="Palatino Linotype"/>
                <w:i/>
                <w:iCs/>
                <w:sz w:val="22"/>
                <w:szCs w:val="22"/>
              </w:rPr>
              <w:t>allowable</w:t>
            </w:r>
            <w:r w:rsidRPr="00121D2F">
              <w:rPr>
                <w:rFonts w:ascii="Palatino Linotype" w:hAnsi="Palatino Linotype"/>
                <w:sz w:val="22"/>
                <w:szCs w:val="22"/>
              </w:rPr>
              <w:t xml:space="preserve"> reason.</w:t>
            </w:r>
          </w:p>
        </w:tc>
      </w:tr>
      <w:tr w:rsidR="0089006D" w:rsidRPr="00121D2F" w:rsidTr="006329BC">
        <w:trPr>
          <w:cantSplit/>
          <w:trHeight w:val="11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677BB5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4641" w:type="pct"/>
            <w:tcBorders>
              <w:top w:val="single" w:sz="4" w:space="0" w:color="auto"/>
              <w:bottom w:val="single" w:sz="4" w:space="0" w:color="auto"/>
            </w:tcBorders>
          </w:tcPr>
          <w:p w:rsidR="0089006D" w:rsidRPr="00121D2F" w:rsidRDefault="0089006D" w:rsidP="00283FFA">
            <w:pPr>
              <w:rPr>
                <w:rFonts w:ascii="Palatino Linotype" w:hAnsi="Palatino Linotype"/>
                <w:b/>
                <w:bCs/>
              </w:rPr>
            </w:pPr>
            <w:r w:rsidRPr="00121D2F">
              <w:rPr>
                <w:rFonts w:ascii="Palatino Linotype" w:hAnsi="Palatino Linotype"/>
                <w:b/>
                <w:bCs/>
                <w:sz w:val="22"/>
                <w:szCs w:val="22"/>
              </w:rPr>
              <w:t>Requirements to Progress to the next year</w:t>
            </w:r>
          </w:p>
          <w:p w:rsidR="0089006D" w:rsidRPr="00121D2F" w:rsidRDefault="0089006D" w:rsidP="00080205">
            <w:pPr>
              <w:rPr>
                <w:rFonts w:ascii="Palatino Linotype" w:hAnsi="Palatino Linotype"/>
                <w:bCs/>
              </w:rPr>
            </w:pP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 xml:space="preserve">In addition to passing overall (see </w:t>
            </w:r>
            <w:r w:rsidRPr="008368A0">
              <w:rPr>
                <w:rFonts w:ascii="Palatino Linotype" w:hAnsi="Palatino Linotype"/>
                <w:b/>
                <w:sz w:val="22"/>
                <w:szCs w:val="22"/>
              </w:rPr>
              <w:t>8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 xml:space="preserve"> above) a student must have completed at least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 xml:space="preserve">12 weeks of AHEMS prior to the start of </w:t>
            </w: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</w:rPr>
              <w:t>BVetMed</w:t>
            </w:r>
            <w:proofErr w:type="spellEnd"/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Pr="00121D2F">
              <w:rPr>
                <w:rFonts w:ascii="Palatino Linotype" w:hAnsi="Palatino Linotype"/>
                <w:bCs/>
                <w:sz w:val="22"/>
                <w:szCs w:val="22"/>
              </w:rPr>
              <w:t>year 3.  A student who has not completed 12 weeks will normally be required to delay their progression to the next year.</w:t>
            </w:r>
          </w:p>
        </w:tc>
      </w:tr>
    </w:tbl>
    <w:p w:rsidR="0089006D" w:rsidRPr="00121D2F" w:rsidRDefault="0089006D" w:rsidP="00283FFA">
      <w:pPr>
        <w:rPr>
          <w:rFonts w:ascii="Palatino Linotype" w:hAnsi="Palatino Linotype"/>
          <w:sz w:val="22"/>
          <w:szCs w:val="22"/>
        </w:rPr>
      </w:pPr>
    </w:p>
    <w:sectPr w:rsidR="0089006D" w:rsidRPr="00121D2F" w:rsidSect="00AB1F95">
      <w:pgSz w:w="11906" w:h="16838" w:code="9"/>
      <w:pgMar w:top="680" w:right="1247" w:bottom="794" w:left="124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6D" w:rsidRDefault="0089006D">
      <w:r>
        <w:separator/>
      </w:r>
    </w:p>
  </w:endnote>
  <w:endnote w:type="continuationSeparator" w:id="0">
    <w:p w:rsidR="0089006D" w:rsidRDefault="0089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7B" w:rsidRDefault="00D648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D" w:rsidRPr="00AB1F95" w:rsidRDefault="0089006D" w:rsidP="00AB1F95">
    <w:pPr>
      <w:pStyle w:val="Footer"/>
      <w:jc w:val="center"/>
      <w:rPr>
        <w:rFonts w:ascii="Palatino Linotype" w:hAnsi="Palatino Linotype"/>
        <w:sz w:val="18"/>
        <w:szCs w:val="18"/>
      </w:rPr>
    </w:pPr>
    <w:r w:rsidRPr="00AB1F95">
      <w:rPr>
        <w:rFonts w:ascii="Palatino Linotype" w:hAnsi="Palatino Linotype"/>
        <w:sz w:val="18"/>
        <w:szCs w:val="18"/>
      </w:rPr>
      <w:t xml:space="preserve">Page </w:t>
    </w:r>
    <w:r w:rsidR="00885F59" w:rsidRPr="00AB1F95">
      <w:rPr>
        <w:rFonts w:ascii="Palatino Linotype" w:hAnsi="Palatino Linotype"/>
        <w:sz w:val="18"/>
        <w:szCs w:val="18"/>
      </w:rPr>
      <w:fldChar w:fldCharType="begin"/>
    </w:r>
    <w:r w:rsidRPr="00AB1F95">
      <w:rPr>
        <w:rFonts w:ascii="Palatino Linotype" w:hAnsi="Palatino Linotype"/>
        <w:sz w:val="18"/>
        <w:szCs w:val="18"/>
      </w:rPr>
      <w:instrText xml:space="preserve"> PAGE </w:instrText>
    </w:r>
    <w:r w:rsidR="00885F59" w:rsidRPr="00AB1F95">
      <w:rPr>
        <w:rFonts w:ascii="Palatino Linotype" w:hAnsi="Palatino Linotype"/>
        <w:sz w:val="18"/>
        <w:szCs w:val="18"/>
      </w:rPr>
      <w:fldChar w:fldCharType="separate"/>
    </w:r>
    <w:r w:rsidR="00D6487B">
      <w:rPr>
        <w:rFonts w:ascii="Palatino Linotype" w:hAnsi="Palatino Linotype"/>
        <w:noProof/>
        <w:sz w:val="18"/>
        <w:szCs w:val="18"/>
      </w:rPr>
      <w:t>1</w:t>
    </w:r>
    <w:r w:rsidR="00885F59" w:rsidRPr="00AB1F95">
      <w:rPr>
        <w:rFonts w:ascii="Palatino Linotype" w:hAnsi="Palatino Linotype"/>
        <w:sz w:val="18"/>
        <w:szCs w:val="18"/>
      </w:rPr>
      <w:fldChar w:fldCharType="end"/>
    </w:r>
    <w:r w:rsidRPr="00AB1F95">
      <w:rPr>
        <w:rFonts w:ascii="Palatino Linotype" w:hAnsi="Palatino Linotype"/>
        <w:sz w:val="18"/>
        <w:szCs w:val="18"/>
      </w:rPr>
      <w:t xml:space="preserve"> of </w:t>
    </w:r>
    <w:r w:rsidR="00885F59" w:rsidRPr="00AB1F95">
      <w:rPr>
        <w:rFonts w:ascii="Palatino Linotype" w:hAnsi="Palatino Linotype"/>
        <w:sz w:val="18"/>
        <w:szCs w:val="18"/>
      </w:rPr>
      <w:fldChar w:fldCharType="begin"/>
    </w:r>
    <w:r w:rsidRPr="00AB1F95">
      <w:rPr>
        <w:rFonts w:ascii="Palatino Linotype" w:hAnsi="Palatino Linotype"/>
        <w:sz w:val="18"/>
        <w:szCs w:val="18"/>
      </w:rPr>
      <w:instrText xml:space="preserve"> NUMPAGES </w:instrText>
    </w:r>
    <w:r w:rsidR="00885F59" w:rsidRPr="00AB1F95">
      <w:rPr>
        <w:rFonts w:ascii="Palatino Linotype" w:hAnsi="Palatino Linotype"/>
        <w:sz w:val="18"/>
        <w:szCs w:val="18"/>
      </w:rPr>
      <w:fldChar w:fldCharType="separate"/>
    </w:r>
    <w:r w:rsidR="00D6487B">
      <w:rPr>
        <w:rFonts w:ascii="Palatino Linotype" w:hAnsi="Palatino Linotype"/>
        <w:noProof/>
        <w:sz w:val="18"/>
        <w:szCs w:val="18"/>
      </w:rPr>
      <w:t>3</w:t>
    </w:r>
    <w:r w:rsidR="00885F59" w:rsidRPr="00AB1F95">
      <w:rPr>
        <w:rFonts w:ascii="Palatino Linotype" w:hAnsi="Palatino Linotype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7B" w:rsidRDefault="00D648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6D" w:rsidRDefault="0089006D">
      <w:r>
        <w:separator/>
      </w:r>
    </w:p>
  </w:footnote>
  <w:footnote w:type="continuationSeparator" w:id="0">
    <w:p w:rsidR="0089006D" w:rsidRDefault="0089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7B" w:rsidRDefault="00D648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D" w:rsidRPr="0084066A" w:rsidRDefault="0089006D" w:rsidP="00AB1F95">
    <w:pPr>
      <w:pStyle w:val="Header"/>
      <w:jc w:val="right"/>
      <w:rPr>
        <w:rFonts w:ascii="Palatino Linotype" w:hAnsi="Palatino Linotype" w:cs="Arial"/>
        <w:bCs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7B" w:rsidRDefault="00D648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644"/>
    <w:multiLevelType w:val="hybridMultilevel"/>
    <w:tmpl w:val="33C0A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8614A"/>
    <w:multiLevelType w:val="hybridMultilevel"/>
    <w:tmpl w:val="4B00A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D71A5A"/>
    <w:multiLevelType w:val="hybridMultilevel"/>
    <w:tmpl w:val="33247A4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98A"/>
    <w:rsid w:val="0000452D"/>
    <w:rsid w:val="000277BA"/>
    <w:rsid w:val="00080205"/>
    <w:rsid w:val="000D3429"/>
    <w:rsid w:val="000E2AC5"/>
    <w:rsid w:val="001113C9"/>
    <w:rsid w:val="00121D2F"/>
    <w:rsid w:val="001703FF"/>
    <w:rsid w:val="00171494"/>
    <w:rsid w:val="00195421"/>
    <w:rsid w:val="001A3175"/>
    <w:rsid w:val="001B050C"/>
    <w:rsid w:val="001E7588"/>
    <w:rsid w:val="0024112D"/>
    <w:rsid w:val="00273F95"/>
    <w:rsid w:val="00283FFA"/>
    <w:rsid w:val="002F7F11"/>
    <w:rsid w:val="00302A84"/>
    <w:rsid w:val="00314502"/>
    <w:rsid w:val="003729EF"/>
    <w:rsid w:val="003D0513"/>
    <w:rsid w:val="004C4B59"/>
    <w:rsid w:val="004F34E4"/>
    <w:rsid w:val="00534A0E"/>
    <w:rsid w:val="005B35DA"/>
    <w:rsid w:val="005B5A83"/>
    <w:rsid w:val="005F713D"/>
    <w:rsid w:val="006329BC"/>
    <w:rsid w:val="006559D6"/>
    <w:rsid w:val="006650AA"/>
    <w:rsid w:val="00677BB5"/>
    <w:rsid w:val="0070247F"/>
    <w:rsid w:val="0074576C"/>
    <w:rsid w:val="00762171"/>
    <w:rsid w:val="00796114"/>
    <w:rsid w:val="007F498A"/>
    <w:rsid w:val="008117B0"/>
    <w:rsid w:val="008368A0"/>
    <w:rsid w:val="0084066A"/>
    <w:rsid w:val="008744BB"/>
    <w:rsid w:val="00885F59"/>
    <w:rsid w:val="0089006D"/>
    <w:rsid w:val="00891A58"/>
    <w:rsid w:val="008F19ED"/>
    <w:rsid w:val="00966964"/>
    <w:rsid w:val="00980B60"/>
    <w:rsid w:val="0098204B"/>
    <w:rsid w:val="009A1489"/>
    <w:rsid w:val="009A75EB"/>
    <w:rsid w:val="009D57AA"/>
    <w:rsid w:val="009F13A9"/>
    <w:rsid w:val="00A63538"/>
    <w:rsid w:val="00A77E9C"/>
    <w:rsid w:val="00AB1AAA"/>
    <w:rsid w:val="00AB1F95"/>
    <w:rsid w:val="00AD2D2B"/>
    <w:rsid w:val="00B06411"/>
    <w:rsid w:val="00B12C6E"/>
    <w:rsid w:val="00B30EAA"/>
    <w:rsid w:val="00B54C8B"/>
    <w:rsid w:val="00B6433E"/>
    <w:rsid w:val="00B84149"/>
    <w:rsid w:val="00BC38A1"/>
    <w:rsid w:val="00C128E9"/>
    <w:rsid w:val="00C13D80"/>
    <w:rsid w:val="00CC52E3"/>
    <w:rsid w:val="00CE37E6"/>
    <w:rsid w:val="00CF16AF"/>
    <w:rsid w:val="00D344F1"/>
    <w:rsid w:val="00D6487B"/>
    <w:rsid w:val="00D72FAF"/>
    <w:rsid w:val="00D73ED6"/>
    <w:rsid w:val="00E514CF"/>
    <w:rsid w:val="00E86305"/>
    <w:rsid w:val="00EC3627"/>
    <w:rsid w:val="00F046D6"/>
    <w:rsid w:val="00F31729"/>
    <w:rsid w:val="00F42EC5"/>
    <w:rsid w:val="00F902E3"/>
    <w:rsid w:val="00FD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4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98A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7F4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98A"/>
    <w:rPr>
      <w:rFonts w:cs="Times New Roman"/>
      <w:sz w:val="24"/>
      <w:szCs w:val="24"/>
      <w:lang w:val="en-GB" w:eastAsia="en-GB" w:bidi="ar-SA"/>
    </w:rPr>
  </w:style>
  <w:style w:type="paragraph" w:customStyle="1" w:styleId="headB">
    <w:name w:val="head B"/>
    <w:basedOn w:val="Normal"/>
    <w:uiPriority w:val="99"/>
    <w:rsid w:val="007F498A"/>
    <w:rPr>
      <w:rFonts w:ascii="Arial" w:hAnsi="Arial" w:cs="Arial"/>
      <w:b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7F49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F498A"/>
    <w:rPr>
      <w:rFonts w:ascii="Arial" w:hAnsi="Arial" w:cs="Arial"/>
      <w:b/>
      <w:bCs/>
      <w:kern w:val="28"/>
      <w:sz w:val="32"/>
      <w:szCs w:val="32"/>
      <w:lang w:val="en-GB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F498A"/>
    <w:rPr>
      <w:rFonts w:ascii="Arial" w:hAnsi="Arial"/>
      <w:b/>
      <w:bCs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498A"/>
    <w:rPr>
      <w:rFonts w:ascii="Arial" w:hAnsi="Arial" w:cs="Times New Roman"/>
      <w:b/>
      <w:bCs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7F498A"/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498A"/>
    <w:rPr>
      <w:rFonts w:ascii="Arial" w:hAnsi="Arial" w:cs="Arial"/>
      <w:sz w:val="22"/>
      <w:szCs w:val="22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rsid w:val="00EC36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3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3627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3627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EC3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3627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EC36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C3627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54C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60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5052</Characters>
  <Application>Microsoft Office Word</Application>
  <DocSecurity>4</DocSecurity>
  <Lines>42</Lines>
  <Paragraphs>11</Paragraphs>
  <ScaleCrop>false</ScaleCrop>
  <Company>The Royal Veterinary College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Award Regulations</dc:title>
  <dc:subject/>
  <dc:creator>pprobyn</dc:creator>
  <cp:keywords/>
  <dc:description/>
  <cp:lastModifiedBy>cjackson</cp:lastModifiedBy>
  <cp:revision>2</cp:revision>
  <cp:lastPrinted>2008-09-29T08:19:00Z</cp:lastPrinted>
  <dcterms:created xsi:type="dcterms:W3CDTF">2010-10-19T13:23:00Z</dcterms:created>
  <dcterms:modified xsi:type="dcterms:W3CDTF">2010-10-19T13:23:00Z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Clark, Julie</vt:lpwstr>
  </property>
  <property fmtid="{D5CDD505-2E9C-101B-9397-08002B2CF9AE}" pid="4" name="display_urn:schemas-microsoft-com:office:office#Author">
    <vt:lpwstr>Probyn, Paul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Id">
    <vt:lpwstr>0x010100C0153D40F06BFC45AA625067B99B203D</vt:lpwstr>
  </property>
</Properties>
</file>