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EE" w:rsidRPr="007F1101" w:rsidRDefault="007F1101" w:rsidP="007F1101">
      <w:pPr>
        <w:pStyle w:val="NoSpacing"/>
        <w:rPr>
          <w:rFonts w:ascii="Tahoma" w:hAnsi="Tahoma" w:cs="Tahoma"/>
          <w:b/>
          <w:sz w:val="28"/>
          <w:szCs w:val="28"/>
        </w:rPr>
      </w:pPr>
      <w:r w:rsidRPr="007F1101">
        <w:rPr>
          <w:rFonts w:ascii="Tahoma" w:hAnsi="Tahoma" w:cs="Tahoma"/>
          <w:b/>
          <w:sz w:val="28"/>
          <w:szCs w:val="28"/>
        </w:rPr>
        <w:t>Cost of Attendance</w:t>
      </w:r>
      <w:r w:rsidR="00E6159A">
        <w:rPr>
          <w:rFonts w:ascii="Tahoma" w:hAnsi="Tahoma" w:cs="Tahoma"/>
          <w:b/>
          <w:sz w:val="28"/>
          <w:szCs w:val="28"/>
        </w:rPr>
        <w:t xml:space="preserve"> (COA)</w:t>
      </w:r>
      <w:r w:rsidRPr="007F1101">
        <w:rPr>
          <w:rFonts w:ascii="Tahoma" w:hAnsi="Tahoma" w:cs="Tahoma"/>
          <w:b/>
          <w:sz w:val="28"/>
          <w:szCs w:val="28"/>
        </w:rPr>
        <w:t xml:space="preserve"> for </w:t>
      </w:r>
      <w:r w:rsidR="002B352A">
        <w:rPr>
          <w:rFonts w:ascii="Tahoma" w:hAnsi="Tahoma" w:cs="Tahoma"/>
          <w:b/>
          <w:sz w:val="28"/>
          <w:szCs w:val="28"/>
        </w:rPr>
        <w:t>2019/20</w:t>
      </w:r>
    </w:p>
    <w:p w:rsidR="007F1101" w:rsidRDefault="007F1101" w:rsidP="007F1101">
      <w:pPr>
        <w:pStyle w:val="NoSpacing"/>
      </w:pPr>
    </w:p>
    <w:p w:rsidR="00B76510" w:rsidRDefault="00B76510" w:rsidP="00B76510">
      <w:pPr>
        <w:pStyle w:val="NormalWeb"/>
        <w:rPr>
          <w:rFonts w:ascii="Tahoma" w:hAnsi="Tahoma" w:cs="Tahoma"/>
          <w:color w:val="000000"/>
          <w:sz w:val="20"/>
          <w:szCs w:val="20"/>
          <w:lang w:val="en-US"/>
        </w:rPr>
      </w:pPr>
      <w:r>
        <w:rPr>
          <w:rStyle w:val="Strong"/>
          <w:rFonts w:ascii="Tahoma" w:hAnsi="Tahoma" w:cs="Tahoma"/>
          <w:color w:val="000000"/>
          <w:lang w:val="en-US"/>
        </w:rPr>
        <w:t>General Principles</w:t>
      </w:r>
    </w:p>
    <w:p w:rsidR="00B76510" w:rsidRDefault="00B76510" w:rsidP="007F1101">
      <w:pPr>
        <w:pStyle w:val="NormalWeb"/>
        <w:rPr>
          <w:rStyle w:val="Strong"/>
          <w:rFonts w:ascii="Tahoma" w:hAnsi="Tahoma" w:cs="Tahoma"/>
          <w:color w:val="000000"/>
          <w:lang w:val="en-US"/>
        </w:rPr>
      </w:pPr>
    </w:p>
    <w:p w:rsidR="00B76510" w:rsidRDefault="004C3C23" w:rsidP="004C3C23">
      <w:pPr>
        <w:pStyle w:val="NormalWeb"/>
        <w:numPr>
          <w:ilvl w:val="0"/>
          <w:numId w:val="1"/>
        </w:numPr>
        <w:rPr>
          <w:rStyle w:val="Strong"/>
          <w:rFonts w:ascii="Tahoma" w:hAnsi="Tahoma" w:cs="Tahoma"/>
          <w:b w:val="0"/>
          <w:color w:val="000000"/>
          <w:sz w:val="20"/>
          <w:szCs w:val="20"/>
          <w:lang w:val="en-US"/>
        </w:rPr>
      </w:pPr>
      <w:r>
        <w:rPr>
          <w:rStyle w:val="Strong"/>
          <w:rFonts w:ascii="Tahoma" w:hAnsi="Tahoma" w:cs="Tahoma"/>
          <w:b w:val="0"/>
          <w:color w:val="000000"/>
          <w:sz w:val="20"/>
          <w:szCs w:val="20"/>
          <w:lang w:val="en-US"/>
        </w:rPr>
        <w:t xml:space="preserve">You are only allowed to claim living costs for your period of study, i.e. the academic year. The only exception to this is where renting private accommodation, where it is </w:t>
      </w:r>
      <w:r w:rsidR="001934A5">
        <w:rPr>
          <w:rStyle w:val="Strong"/>
          <w:rFonts w:ascii="Tahoma" w:hAnsi="Tahoma" w:cs="Tahoma"/>
          <w:b w:val="0"/>
          <w:color w:val="000000"/>
          <w:sz w:val="20"/>
          <w:szCs w:val="20"/>
          <w:lang w:val="en-US"/>
        </w:rPr>
        <w:t>recognized</w:t>
      </w:r>
      <w:r>
        <w:rPr>
          <w:rStyle w:val="Strong"/>
          <w:rFonts w:ascii="Tahoma" w:hAnsi="Tahoma" w:cs="Tahoma"/>
          <w:b w:val="0"/>
          <w:color w:val="000000"/>
          <w:sz w:val="20"/>
          <w:szCs w:val="20"/>
          <w:lang w:val="en-US"/>
        </w:rPr>
        <w:t xml:space="preserve"> you will be tied into a 12 month contract.</w:t>
      </w:r>
      <w:r w:rsidR="004537EF">
        <w:rPr>
          <w:rStyle w:val="Strong"/>
          <w:rFonts w:ascii="Tahoma" w:hAnsi="Tahoma" w:cs="Tahoma"/>
          <w:b w:val="0"/>
          <w:color w:val="000000"/>
          <w:sz w:val="20"/>
          <w:szCs w:val="20"/>
          <w:lang w:val="en-US"/>
        </w:rPr>
        <w:t xml:space="preserve"> Your </w:t>
      </w:r>
      <w:hyperlink r:id="rId7" w:history="1">
        <w:r w:rsidR="004537EF" w:rsidRPr="004537EF">
          <w:rPr>
            <w:rStyle w:val="Hyperlink"/>
            <w:rFonts w:ascii="Tahoma" w:hAnsi="Tahoma" w:cs="Tahoma"/>
            <w:sz w:val="20"/>
            <w:szCs w:val="20"/>
            <w:lang w:val="en-US"/>
          </w:rPr>
          <w:t>course disbursement dates</w:t>
        </w:r>
      </w:hyperlink>
      <w:r w:rsidR="004537EF">
        <w:rPr>
          <w:rStyle w:val="Strong"/>
          <w:rFonts w:ascii="Tahoma" w:hAnsi="Tahoma" w:cs="Tahoma"/>
          <w:b w:val="0"/>
          <w:color w:val="000000"/>
          <w:sz w:val="20"/>
          <w:szCs w:val="20"/>
          <w:lang w:val="en-US"/>
        </w:rPr>
        <w:t xml:space="preserve"> show the period your loan covers</w:t>
      </w:r>
    </w:p>
    <w:p w:rsidR="001934A5" w:rsidRPr="001934A5" w:rsidRDefault="001934A5" w:rsidP="001934A5">
      <w:pPr>
        <w:pStyle w:val="ListParagraph"/>
        <w:numPr>
          <w:ilvl w:val="0"/>
          <w:numId w:val="1"/>
        </w:numPr>
        <w:rPr>
          <w:rFonts w:ascii="Tahoma" w:hAnsi="Tahoma" w:cs="Tahoma"/>
          <w:sz w:val="20"/>
          <w:szCs w:val="20"/>
        </w:rPr>
      </w:pPr>
      <w:r w:rsidRPr="001934A5">
        <w:rPr>
          <w:rFonts w:ascii="Tahoma" w:hAnsi="Tahoma" w:cs="Tahoma"/>
          <w:sz w:val="20"/>
          <w:szCs w:val="20"/>
        </w:rPr>
        <w:t xml:space="preserve">Federal law allows the loans to be used for tuition fees, accommodation, utility bills (including phone/broadband), food, laundry and clothing, entertainment, transport including airfares, course costs (books, supplies, equipment), </w:t>
      </w:r>
      <w:r w:rsidR="004537EF">
        <w:rPr>
          <w:rFonts w:ascii="Tahoma" w:hAnsi="Tahoma" w:cs="Tahoma"/>
          <w:sz w:val="20"/>
          <w:szCs w:val="20"/>
        </w:rPr>
        <w:t xml:space="preserve">professional registration costs (NAVLE, RVCS), </w:t>
      </w:r>
      <w:r w:rsidRPr="001934A5">
        <w:rPr>
          <w:rFonts w:ascii="Tahoma" w:hAnsi="Tahoma" w:cs="Tahoma"/>
          <w:sz w:val="20"/>
          <w:szCs w:val="20"/>
        </w:rPr>
        <w:t>loan origination fees, dependent care and an allowance to assist with any disability.</w:t>
      </w:r>
      <w:r>
        <w:rPr>
          <w:rFonts w:ascii="Tahoma" w:hAnsi="Tahoma" w:cs="Tahoma"/>
          <w:sz w:val="20"/>
          <w:szCs w:val="20"/>
        </w:rPr>
        <w:t xml:space="preserve"> Occasionally costs outside of these categories are approved</w:t>
      </w:r>
      <w:r w:rsidR="00E6159A">
        <w:rPr>
          <w:rFonts w:ascii="Tahoma" w:hAnsi="Tahoma" w:cs="Tahoma"/>
          <w:sz w:val="20"/>
          <w:szCs w:val="20"/>
        </w:rPr>
        <w:t xml:space="preserve"> when they are a valid study expense.</w:t>
      </w:r>
    </w:p>
    <w:p w:rsidR="004C3C23" w:rsidRPr="00E6159A" w:rsidRDefault="00E6159A" w:rsidP="004C3C23">
      <w:pPr>
        <w:pStyle w:val="NormalWeb"/>
        <w:numPr>
          <w:ilvl w:val="0"/>
          <w:numId w:val="1"/>
        </w:numPr>
        <w:rPr>
          <w:rFonts w:ascii="Tahoma" w:hAnsi="Tahoma" w:cs="Tahoma"/>
          <w:bCs/>
          <w:color w:val="000000"/>
          <w:sz w:val="20"/>
          <w:szCs w:val="20"/>
          <w:lang w:val="en-US"/>
        </w:rPr>
      </w:pPr>
      <w:r w:rsidRPr="00E6159A">
        <w:rPr>
          <w:rFonts w:ascii="Tahoma" w:hAnsi="Tahoma" w:cs="Tahoma"/>
          <w:sz w:val="20"/>
          <w:szCs w:val="20"/>
        </w:rPr>
        <w:t>You cannot use your loan to support a partner. We recognize that you might want to get a place of your own, and you should be able to afford that within the budget we have allow, but they should be paying for half of the rent and other costs.</w:t>
      </w:r>
    </w:p>
    <w:p w:rsidR="00E6159A" w:rsidRPr="00E6159A" w:rsidRDefault="00E6159A" w:rsidP="004C3C23">
      <w:pPr>
        <w:pStyle w:val="NormalWeb"/>
        <w:numPr>
          <w:ilvl w:val="0"/>
          <w:numId w:val="1"/>
        </w:numPr>
        <w:rPr>
          <w:rFonts w:ascii="Tahoma" w:hAnsi="Tahoma" w:cs="Tahoma"/>
          <w:bCs/>
          <w:color w:val="000000"/>
          <w:sz w:val="20"/>
          <w:szCs w:val="20"/>
          <w:lang w:val="en-US"/>
        </w:rPr>
      </w:pPr>
      <w:r>
        <w:rPr>
          <w:rFonts w:ascii="Tahoma" w:hAnsi="Tahoma" w:cs="Tahoma"/>
          <w:sz w:val="20"/>
          <w:szCs w:val="20"/>
        </w:rPr>
        <w:t>You cannot use your loan to pay off other loans you may have.</w:t>
      </w:r>
    </w:p>
    <w:p w:rsidR="00E6159A" w:rsidRDefault="00E6159A" w:rsidP="004C3C23">
      <w:pPr>
        <w:pStyle w:val="NormalWeb"/>
        <w:numPr>
          <w:ilvl w:val="0"/>
          <w:numId w:val="1"/>
        </w:numPr>
        <w:rPr>
          <w:rStyle w:val="Strong"/>
          <w:rFonts w:ascii="Tahoma" w:hAnsi="Tahoma" w:cs="Tahoma"/>
          <w:b w:val="0"/>
          <w:color w:val="000000"/>
          <w:sz w:val="20"/>
          <w:szCs w:val="20"/>
          <w:lang w:val="en-US"/>
        </w:rPr>
      </w:pPr>
      <w:r>
        <w:rPr>
          <w:rStyle w:val="Strong"/>
          <w:rFonts w:ascii="Tahoma" w:hAnsi="Tahoma" w:cs="Tahoma"/>
          <w:b w:val="0"/>
          <w:color w:val="000000"/>
          <w:sz w:val="20"/>
          <w:szCs w:val="20"/>
          <w:lang w:val="en-US"/>
        </w:rPr>
        <w:t>Don’t borrow more than you need. As soon as the money is disbursed you are accumulating interest on it. It is a simple process to borrow more, provided you don’t exceed your COA, and takes about two weeks.</w:t>
      </w:r>
    </w:p>
    <w:p w:rsidR="00E6159A" w:rsidRDefault="00E6159A" w:rsidP="004C3C23">
      <w:pPr>
        <w:pStyle w:val="NormalWeb"/>
        <w:numPr>
          <w:ilvl w:val="0"/>
          <w:numId w:val="1"/>
        </w:numPr>
        <w:rPr>
          <w:rStyle w:val="Strong"/>
          <w:rFonts w:ascii="Tahoma" w:hAnsi="Tahoma" w:cs="Tahoma"/>
          <w:b w:val="0"/>
          <w:color w:val="000000"/>
          <w:sz w:val="20"/>
          <w:szCs w:val="20"/>
          <w:lang w:val="en-US"/>
        </w:rPr>
      </w:pPr>
      <w:r>
        <w:rPr>
          <w:rStyle w:val="Strong"/>
          <w:rFonts w:ascii="Tahoma" w:hAnsi="Tahoma" w:cs="Tahoma"/>
          <w:b w:val="0"/>
          <w:color w:val="000000"/>
          <w:sz w:val="20"/>
          <w:szCs w:val="20"/>
          <w:lang w:val="en-US"/>
        </w:rPr>
        <w:t>It doesn’t matter if you exceed the amount approved in any budget category, as long as your total budget does not exceed your COA.</w:t>
      </w:r>
    </w:p>
    <w:p w:rsidR="00E6159A" w:rsidRPr="00E6159A" w:rsidRDefault="00E6159A" w:rsidP="00E6159A">
      <w:pPr>
        <w:pStyle w:val="ListParagraph"/>
        <w:numPr>
          <w:ilvl w:val="0"/>
          <w:numId w:val="1"/>
        </w:numPr>
        <w:rPr>
          <w:rFonts w:ascii="Tahoma" w:hAnsi="Tahoma" w:cs="Tahoma"/>
          <w:sz w:val="20"/>
          <w:szCs w:val="20"/>
        </w:rPr>
      </w:pPr>
      <w:r>
        <w:rPr>
          <w:rFonts w:ascii="Tahoma" w:hAnsi="Tahoma" w:cs="Tahoma"/>
          <w:sz w:val="20"/>
          <w:szCs w:val="20"/>
        </w:rPr>
        <w:t>If your budget exceeds your COA, y</w:t>
      </w:r>
      <w:r w:rsidRPr="00E6159A">
        <w:rPr>
          <w:rFonts w:ascii="Tahoma" w:hAnsi="Tahoma" w:cs="Tahoma"/>
          <w:sz w:val="20"/>
          <w:szCs w:val="20"/>
        </w:rPr>
        <w:t>ou should explain why in the box provided on the COA Budget worksheet, and apply for the amount you want. We will be able to approve your budget if you give a reasonable justification</w:t>
      </w:r>
      <w:r>
        <w:rPr>
          <w:rFonts w:ascii="Tahoma" w:hAnsi="Tahoma" w:cs="Tahoma"/>
          <w:sz w:val="20"/>
          <w:szCs w:val="20"/>
        </w:rPr>
        <w:t xml:space="preserve"> and it is an allowable cost</w:t>
      </w:r>
      <w:r w:rsidRPr="00E6159A">
        <w:rPr>
          <w:rFonts w:ascii="Tahoma" w:hAnsi="Tahoma" w:cs="Tahoma"/>
          <w:sz w:val="20"/>
          <w:szCs w:val="20"/>
        </w:rPr>
        <w:t>. If we have concerns, we will raise them with you.</w:t>
      </w:r>
    </w:p>
    <w:p w:rsidR="00E6159A" w:rsidRPr="00E6159A" w:rsidRDefault="00E6159A" w:rsidP="00DB4457">
      <w:pPr>
        <w:pStyle w:val="NormalWeb"/>
        <w:ind w:left="720"/>
        <w:rPr>
          <w:rStyle w:val="Strong"/>
          <w:rFonts w:ascii="Tahoma" w:hAnsi="Tahoma" w:cs="Tahoma"/>
          <w:b w:val="0"/>
          <w:color w:val="000000"/>
          <w:sz w:val="20"/>
          <w:szCs w:val="20"/>
          <w:lang w:val="en-US"/>
        </w:rPr>
      </w:pPr>
    </w:p>
    <w:p w:rsidR="00472912" w:rsidRDefault="00472912" w:rsidP="007F1101">
      <w:pPr>
        <w:pStyle w:val="NormalWeb"/>
        <w:rPr>
          <w:rStyle w:val="Strong"/>
          <w:rFonts w:ascii="Tahoma" w:hAnsi="Tahoma" w:cs="Tahoma"/>
          <w:color w:val="000000"/>
          <w:lang w:val="en-US"/>
        </w:rPr>
      </w:pPr>
    </w:p>
    <w:p w:rsidR="007F1101" w:rsidRDefault="007F1101" w:rsidP="007F1101">
      <w:pPr>
        <w:pStyle w:val="NormalWeb"/>
        <w:rPr>
          <w:rFonts w:ascii="Tahoma" w:hAnsi="Tahoma" w:cs="Tahoma"/>
          <w:color w:val="000000"/>
          <w:sz w:val="20"/>
          <w:szCs w:val="20"/>
          <w:lang w:val="en-US"/>
        </w:rPr>
      </w:pPr>
      <w:r>
        <w:rPr>
          <w:rStyle w:val="Strong"/>
          <w:rFonts w:ascii="Tahoma" w:hAnsi="Tahoma" w:cs="Tahoma"/>
          <w:color w:val="000000"/>
          <w:lang w:val="en-US"/>
        </w:rPr>
        <w:t>Accommodation Costs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1"/>
        <w:gridCol w:w="911"/>
        <w:gridCol w:w="746"/>
        <w:gridCol w:w="1244"/>
        <w:gridCol w:w="916"/>
        <w:gridCol w:w="1017"/>
        <w:gridCol w:w="1111"/>
      </w:tblGrid>
      <w:tr w:rsidR="005125A9" w:rsidRPr="007F1101" w:rsidTr="00E246BA">
        <w:trPr>
          <w:trHeight w:val="270"/>
          <w:tblCellSpacing w:w="0" w:type="dxa"/>
        </w:trPr>
        <w:tc>
          <w:tcPr>
            <w:tcW w:w="2955" w:type="dxa"/>
            <w:tcMar>
              <w:top w:w="15" w:type="dxa"/>
              <w:left w:w="15" w:type="dxa"/>
              <w:bottom w:w="15" w:type="dxa"/>
              <w:right w:w="15" w:type="dxa"/>
            </w:tcMar>
            <w:vAlign w:val="center"/>
            <w:hideMark/>
          </w:tcPr>
          <w:p w:rsidR="007F1101" w:rsidRPr="007F1101" w:rsidRDefault="007F1101">
            <w:pPr>
              <w:rPr>
                <w:rFonts w:ascii="Tahoma" w:hAnsi="Tahoma" w:cs="Tahoma"/>
              </w:rPr>
            </w:pPr>
            <w:r>
              <w:rPr>
                <w:rFonts w:ascii="Tahoma" w:hAnsi="Tahoma" w:cs="Tahoma"/>
                <w:color w:val="000000"/>
                <w:sz w:val="20"/>
                <w:szCs w:val="20"/>
                <w:lang w:val="en-US"/>
              </w:rPr>
              <w:t> </w:t>
            </w:r>
            <w:r w:rsidRPr="007F1101">
              <w:rPr>
                <w:rFonts w:ascii="Tahoma" w:hAnsi="Tahoma" w:cs="Tahoma"/>
              </w:rPr>
              <w:t>Hall</w:t>
            </w:r>
          </w:p>
        </w:tc>
        <w:tc>
          <w:tcPr>
            <w:tcW w:w="913" w:type="dxa"/>
            <w:tcMar>
              <w:top w:w="15" w:type="dxa"/>
              <w:left w:w="15" w:type="dxa"/>
              <w:bottom w:w="15" w:type="dxa"/>
              <w:right w:w="15" w:type="dxa"/>
            </w:tcMar>
            <w:vAlign w:val="center"/>
            <w:hideMark/>
          </w:tcPr>
          <w:p w:rsidR="007F1101" w:rsidRPr="007F1101" w:rsidRDefault="007F1101">
            <w:pPr>
              <w:rPr>
                <w:rFonts w:ascii="Tahoma" w:hAnsi="Tahoma" w:cs="Tahoma"/>
              </w:rPr>
            </w:pPr>
            <w:r w:rsidRPr="007F1101">
              <w:rPr>
                <w:rFonts w:ascii="Tahoma" w:hAnsi="Tahoma" w:cs="Tahoma"/>
              </w:rPr>
              <w:t>Per week</w:t>
            </w:r>
          </w:p>
        </w:tc>
        <w:tc>
          <w:tcPr>
            <w:tcW w:w="747" w:type="dxa"/>
            <w:tcMar>
              <w:top w:w="15" w:type="dxa"/>
              <w:left w:w="15" w:type="dxa"/>
              <w:bottom w:w="15" w:type="dxa"/>
              <w:right w:w="15" w:type="dxa"/>
            </w:tcMar>
            <w:vAlign w:val="center"/>
            <w:hideMark/>
          </w:tcPr>
          <w:p w:rsidR="007F1101" w:rsidRPr="007F1101" w:rsidRDefault="007F1101">
            <w:pPr>
              <w:rPr>
                <w:rFonts w:ascii="Tahoma" w:hAnsi="Tahoma" w:cs="Tahoma"/>
              </w:rPr>
            </w:pPr>
            <w:r w:rsidRPr="007F1101">
              <w:rPr>
                <w:rFonts w:ascii="Tahoma" w:hAnsi="Tahoma" w:cs="Tahoma"/>
              </w:rPr>
              <w:t>Weeks</w:t>
            </w:r>
          </w:p>
        </w:tc>
        <w:tc>
          <w:tcPr>
            <w:tcW w:w="1244" w:type="dxa"/>
            <w:tcMar>
              <w:top w:w="15" w:type="dxa"/>
              <w:left w:w="15" w:type="dxa"/>
              <w:bottom w:w="15" w:type="dxa"/>
              <w:right w:w="15" w:type="dxa"/>
            </w:tcMar>
            <w:vAlign w:val="center"/>
            <w:hideMark/>
          </w:tcPr>
          <w:p w:rsidR="007F1101" w:rsidRPr="007F1101" w:rsidRDefault="007F1101">
            <w:pPr>
              <w:rPr>
                <w:rFonts w:ascii="Tahoma" w:hAnsi="Tahoma" w:cs="Tahoma"/>
              </w:rPr>
            </w:pPr>
            <w:r w:rsidRPr="007F1101">
              <w:rPr>
                <w:rFonts w:ascii="Tahoma" w:hAnsi="Tahoma" w:cs="Tahoma"/>
              </w:rPr>
              <w:t>Per Year</w:t>
            </w:r>
          </w:p>
        </w:tc>
        <w:tc>
          <w:tcPr>
            <w:tcW w:w="925" w:type="dxa"/>
            <w:tcMar>
              <w:top w:w="15" w:type="dxa"/>
              <w:left w:w="15" w:type="dxa"/>
              <w:bottom w:w="15" w:type="dxa"/>
              <w:right w:w="15" w:type="dxa"/>
            </w:tcMar>
            <w:vAlign w:val="center"/>
            <w:hideMark/>
          </w:tcPr>
          <w:p w:rsidR="007F1101" w:rsidRPr="007F1101" w:rsidRDefault="007F1101">
            <w:pPr>
              <w:rPr>
                <w:rFonts w:ascii="Tahoma" w:hAnsi="Tahoma" w:cs="Tahoma"/>
              </w:rPr>
            </w:pPr>
            <w:r w:rsidRPr="007F1101">
              <w:rPr>
                <w:rFonts w:ascii="Tahoma" w:hAnsi="Tahoma" w:cs="Tahoma"/>
              </w:rPr>
              <w:t>Deposit</w:t>
            </w:r>
          </w:p>
        </w:tc>
        <w:tc>
          <w:tcPr>
            <w:tcW w:w="1118" w:type="dxa"/>
            <w:tcMar>
              <w:top w:w="15" w:type="dxa"/>
              <w:left w:w="15" w:type="dxa"/>
              <w:bottom w:w="15" w:type="dxa"/>
              <w:right w:w="15" w:type="dxa"/>
            </w:tcMar>
            <w:vAlign w:val="center"/>
            <w:hideMark/>
          </w:tcPr>
          <w:p w:rsidR="007F1101" w:rsidRPr="007F1101" w:rsidRDefault="007F1101">
            <w:pPr>
              <w:rPr>
                <w:rFonts w:ascii="Tahoma" w:hAnsi="Tahoma" w:cs="Tahoma"/>
              </w:rPr>
            </w:pPr>
            <w:r w:rsidRPr="007F1101">
              <w:rPr>
                <w:rFonts w:ascii="Tahoma" w:hAnsi="Tahoma" w:cs="Tahoma"/>
              </w:rPr>
              <w:t>W-Fi</w:t>
            </w:r>
          </w:p>
        </w:tc>
        <w:tc>
          <w:tcPr>
            <w:tcW w:w="1114" w:type="dxa"/>
            <w:tcMar>
              <w:top w:w="15" w:type="dxa"/>
              <w:left w:w="15" w:type="dxa"/>
              <w:bottom w:w="15" w:type="dxa"/>
              <w:right w:w="15" w:type="dxa"/>
            </w:tcMar>
            <w:vAlign w:val="center"/>
            <w:hideMark/>
          </w:tcPr>
          <w:p w:rsidR="007F1101" w:rsidRPr="007F1101" w:rsidRDefault="007F1101">
            <w:pPr>
              <w:rPr>
                <w:rFonts w:ascii="Tahoma" w:hAnsi="Tahoma" w:cs="Tahoma"/>
              </w:rPr>
            </w:pPr>
            <w:r w:rsidRPr="007F1101">
              <w:rPr>
                <w:rFonts w:ascii="Tahoma" w:hAnsi="Tahoma" w:cs="Tahoma"/>
              </w:rPr>
              <w:t>Food Allowance</w:t>
            </w:r>
          </w:p>
        </w:tc>
      </w:tr>
      <w:tr w:rsidR="00472912" w:rsidRPr="007F1101" w:rsidTr="00E246BA">
        <w:trPr>
          <w:trHeight w:val="255"/>
          <w:tblCellSpacing w:w="0" w:type="dxa"/>
        </w:trPr>
        <w:tc>
          <w:tcPr>
            <w:tcW w:w="0" w:type="auto"/>
            <w:tcMar>
              <w:top w:w="15" w:type="dxa"/>
              <w:left w:w="15" w:type="dxa"/>
              <w:bottom w:w="15" w:type="dxa"/>
              <w:right w:w="15" w:type="dxa"/>
            </w:tcMar>
            <w:vAlign w:val="center"/>
            <w:hideMark/>
          </w:tcPr>
          <w:p w:rsidR="007F1101" w:rsidRPr="00DB4457" w:rsidRDefault="007F1101">
            <w:pPr>
              <w:rPr>
                <w:rFonts w:ascii="Tahoma" w:hAnsi="Tahoma" w:cs="Tahoma"/>
              </w:rPr>
            </w:pPr>
            <w:r w:rsidRPr="00DB4457">
              <w:rPr>
                <w:rFonts w:ascii="Tahoma" w:hAnsi="Tahoma" w:cs="Tahoma"/>
              </w:rPr>
              <w:lastRenderedPageBreak/>
              <w:t>College Grove</w:t>
            </w:r>
          </w:p>
        </w:tc>
        <w:tc>
          <w:tcPr>
            <w:tcW w:w="0" w:type="auto"/>
            <w:tcMar>
              <w:top w:w="15" w:type="dxa"/>
              <w:left w:w="15" w:type="dxa"/>
              <w:bottom w:w="15" w:type="dxa"/>
              <w:right w:w="15" w:type="dxa"/>
            </w:tcMar>
            <w:vAlign w:val="center"/>
            <w:hideMark/>
          </w:tcPr>
          <w:p w:rsidR="007F1101" w:rsidRPr="00DB4457" w:rsidRDefault="007F1101" w:rsidP="003A7E55">
            <w:pPr>
              <w:jc w:val="right"/>
              <w:rPr>
                <w:rFonts w:ascii="Tahoma" w:hAnsi="Tahoma" w:cs="Tahoma"/>
              </w:rPr>
            </w:pPr>
            <w:r w:rsidRPr="00DB4457">
              <w:rPr>
                <w:rFonts w:ascii="Tahoma" w:hAnsi="Tahoma" w:cs="Tahoma"/>
              </w:rPr>
              <w:t>£</w:t>
            </w:r>
            <w:r w:rsidR="003A7E55">
              <w:rPr>
                <w:rFonts w:ascii="Tahoma" w:hAnsi="Tahoma" w:cs="Tahoma"/>
              </w:rPr>
              <w:t>174.50</w:t>
            </w:r>
          </w:p>
        </w:tc>
        <w:tc>
          <w:tcPr>
            <w:tcW w:w="0" w:type="auto"/>
            <w:tcMar>
              <w:top w:w="15" w:type="dxa"/>
              <w:left w:w="15" w:type="dxa"/>
              <w:bottom w:w="15" w:type="dxa"/>
              <w:right w:w="15" w:type="dxa"/>
            </w:tcMar>
            <w:vAlign w:val="center"/>
            <w:hideMark/>
          </w:tcPr>
          <w:p w:rsidR="007F1101" w:rsidRPr="00DB4457" w:rsidRDefault="007F1101">
            <w:pPr>
              <w:jc w:val="right"/>
              <w:rPr>
                <w:rFonts w:ascii="Tahoma" w:hAnsi="Tahoma" w:cs="Tahoma"/>
              </w:rPr>
            </w:pPr>
            <w:r w:rsidRPr="00DB4457">
              <w:rPr>
                <w:rFonts w:ascii="Tahoma" w:hAnsi="Tahoma" w:cs="Tahoma"/>
              </w:rPr>
              <w:t>48</w:t>
            </w:r>
          </w:p>
        </w:tc>
        <w:tc>
          <w:tcPr>
            <w:tcW w:w="0" w:type="auto"/>
            <w:tcMar>
              <w:top w:w="15" w:type="dxa"/>
              <w:left w:w="15" w:type="dxa"/>
              <w:bottom w:w="15" w:type="dxa"/>
              <w:right w:w="15" w:type="dxa"/>
            </w:tcMar>
            <w:vAlign w:val="center"/>
            <w:hideMark/>
          </w:tcPr>
          <w:p w:rsidR="007F1101" w:rsidRPr="00DB4457" w:rsidRDefault="007F1101" w:rsidP="003A7E55">
            <w:pPr>
              <w:jc w:val="right"/>
              <w:rPr>
                <w:rFonts w:ascii="Tahoma" w:hAnsi="Tahoma" w:cs="Tahoma"/>
              </w:rPr>
            </w:pPr>
            <w:r w:rsidRPr="00DB4457">
              <w:rPr>
                <w:rFonts w:ascii="Tahoma" w:hAnsi="Tahoma" w:cs="Tahoma"/>
              </w:rPr>
              <w:t>£</w:t>
            </w:r>
            <w:r w:rsidR="003A7E55">
              <w:rPr>
                <w:rFonts w:ascii="Tahoma" w:hAnsi="Tahoma" w:cs="Tahoma"/>
              </w:rPr>
              <w:t>8,376</w:t>
            </w:r>
            <w:r w:rsidRPr="00DB4457">
              <w:rPr>
                <w:rFonts w:ascii="Tahoma" w:hAnsi="Tahoma" w:cs="Tahoma"/>
              </w:rPr>
              <w:t>.00</w:t>
            </w:r>
          </w:p>
        </w:tc>
        <w:tc>
          <w:tcPr>
            <w:tcW w:w="925" w:type="dxa"/>
            <w:tcMar>
              <w:top w:w="15" w:type="dxa"/>
              <w:left w:w="15" w:type="dxa"/>
              <w:bottom w:w="15" w:type="dxa"/>
              <w:right w:w="15" w:type="dxa"/>
            </w:tcMar>
            <w:vAlign w:val="center"/>
            <w:hideMark/>
          </w:tcPr>
          <w:p w:rsidR="007F1101" w:rsidRPr="00DB4457" w:rsidRDefault="007F1101" w:rsidP="00FC310C">
            <w:pPr>
              <w:jc w:val="right"/>
              <w:rPr>
                <w:rFonts w:ascii="Tahoma" w:hAnsi="Tahoma" w:cs="Tahoma"/>
              </w:rPr>
            </w:pPr>
            <w:r w:rsidRPr="00DB4457">
              <w:rPr>
                <w:rFonts w:ascii="Tahoma" w:hAnsi="Tahoma" w:cs="Tahoma"/>
              </w:rPr>
              <w:t>£</w:t>
            </w:r>
            <w:r w:rsidR="004537EF">
              <w:rPr>
                <w:rFonts w:ascii="Tahoma" w:hAnsi="Tahoma" w:cs="Tahoma"/>
              </w:rPr>
              <w:t>3</w:t>
            </w:r>
            <w:r w:rsidR="00FC310C">
              <w:rPr>
                <w:rFonts w:ascii="Tahoma" w:hAnsi="Tahoma" w:cs="Tahoma"/>
              </w:rPr>
              <w:t>00</w:t>
            </w:r>
            <w:r w:rsidR="004537EF">
              <w:rPr>
                <w:rFonts w:ascii="Tahoma" w:hAnsi="Tahoma" w:cs="Tahoma"/>
              </w:rPr>
              <w:t>.00</w:t>
            </w:r>
          </w:p>
        </w:tc>
        <w:tc>
          <w:tcPr>
            <w:tcW w:w="1118" w:type="dxa"/>
            <w:tcMar>
              <w:top w:w="15" w:type="dxa"/>
              <w:left w:w="15" w:type="dxa"/>
              <w:bottom w:w="15" w:type="dxa"/>
              <w:right w:w="15" w:type="dxa"/>
            </w:tcMar>
            <w:vAlign w:val="center"/>
            <w:hideMark/>
          </w:tcPr>
          <w:p w:rsidR="007F1101" w:rsidRPr="007F1101" w:rsidRDefault="007F1101">
            <w:pPr>
              <w:rPr>
                <w:rFonts w:ascii="Tahoma" w:hAnsi="Tahoma" w:cs="Tahoma"/>
              </w:rPr>
            </w:pPr>
            <w:r w:rsidRPr="007F1101">
              <w:rPr>
                <w:rFonts w:ascii="Tahoma" w:hAnsi="Tahoma" w:cs="Tahoma"/>
              </w:rPr>
              <w:t>Free</w:t>
            </w:r>
          </w:p>
        </w:tc>
        <w:tc>
          <w:tcPr>
            <w:tcW w:w="0" w:type="auto"/>
            <w:tcMar>
              <w:top w:w="15" w:type="dxa"/>
              <w:left w:w="15" w:type="dxa"/>
              <w:bottom w:w="15" w:type="dxa"/>
              <w:right w:w="15" w:type="dxa"/>
            </w:tcMar>
            <w:vAlign w:val="center"/>
            <w:hideMark/>
          </w:tcPr>
          <w:p w:rsidR="007F1101" w:rsidRPr="007F1101" w:rsidRDefault="00627664" w:rsidP="00D5143B">
            <w:pPr>
              <w:jc w:val="right"/>
              <w:rPr>
                <w:rFonts w:ascii="Tahoma" w:hAnsi="Tahoma" w:cs="Tahoma"/>
              </w:rPr>
            </w:pPr>
            <w:r>
              <w:rPr>
                <w:rFonts w:ascii="Tahoma" w:hAnsi="Tahoma" w:cs="Tahoma"/>
              </w:rPr>
              <w:t>£71</w:t>
            </w:r>
            <w:r w:rsidR="007F1101" w:rsidRPr="007F1101">
              <w:rPr>
                <w:rFonts w:ascii="Tahoma" w:hAnsi="Tahoma" w:cs="Tahoma"/>
              </w:rPr>
              <w:t>.00</w:t>
            </w:r>
          </w:p>
        </w:tc>
      </w:tr>
      <w:tr w:rsidR="00472912" w:rsidRPr="007F1101" w:rsidTr="00E246BA">
        <w:trPr>
          <w:trHeight w:val="270"/>
          <w:tblCellSpacing w:w="0" w:type="dxa"/>
        </w:trPr>
        <w:tc>
          <w:tcPr>
            <w:tcW w:w="0" w:type="auto"/>
            <w:tcMar>
              <w:top w:w="15" w:type="dxa"/>
              <w:left w:w="15" w:type="dxa"/>
              <w:bottom w:w="15" w:type="dxa"/>
              <w:right w:w="15" w:type="dxa"/>
            </w:tcMar>
            <w:vAlign w:val="center"/>
            <w:hideMark/>
          </w:tcPr>
          <w:p w:rsidR="007F1101" w:rsidRPr="00DB4457" w:rsidRDefault="007F1101">
            <w:pPr>
              <w:rPr>
                <w:rFonts w:ascii="Tahoma" w:hAnsi="Tahoma" w:cs="Tahoma"/>
              </w:rPr>
            </w:pPr>
            <w:r w:rsidRPr="00DB4457">
              <w:rPr>
                <w:rFonts w:ascii="Tahoma" w:hAnsi="Tahoma" w:cs="Tahoma"/>
              </w:rPr>
              <w:t>Mary Brancker House</w:t>
            </w:r>
          </w:p>
        </w:tc>
        <w:tc>
          <w:tcPr>
            <w:tcW w:w="0" w:type="auto"/>
            <w:tcMar>
              <w:top w:w="15" w:type="dxa"/>
              <w:left w:w="15" w:type="dxa"/>
              <w:bottom w:w="15" w:type="dxa"/>
              <w:right w:w="15" w:type="dxa"/>
            </w:tcMar>
            <w:vAlign w:val="center"/>
            <w:hideMark/>
          </w:tcPr>
          <w:p w:rsidR="007F1101" w:rsidRPr="00DB4457" w:rsidRDefault="007F1101" w:rsidP="003A7E55">
            <w:pPr>
              <w:jc w:val="right"/>
              <w:rPr>
                <w:rFonts w:ascii="Tahoma" w:hAnsi="Tahoma" w:cs="Tahoma"/>
              </w:rPr>
            </w:pPr>
            <w:r w:rsidRPr="00DB4457">
              <w:rPr>
                <w:rFonts w:ascii="Tahoma" w:hAnsi="Tahoma" w:cs="Tahoma"/>
              </w:rPr>
              <w:t>£</w:t>
            </w:r>
            <w:r w:rsidR="003A7E55">
              <w:rPr>
                <w:rFonts w:ascii="Tahoma" w:hAnsi="Tahoma" w:cs="Tahoma"/>
              </w:rPr>
              <w:t>208.06</w:t>
            </w:r>
          </w:p>
        </w:tc>
        <w:tc>
          <w:tcPr>
            <w:tcW w:w="0" w:type="auto"/>
            <w:tcMar>
              <w:top w:w="15" w:type="dxa"/>
              <w:left w:w="15" w:type="dxa"/>
              <w:bottom w:w="15" w:type="dxa"/>
              <w:right w:w="15" w:type="dxa"/>
            </w:tcMar>
            <w:vAlign w:val="center"/>
            <w:hideMark/>
          </w:tcPr>
          <w:p w:rsidR="007F1101" w:rsidRPr="00DB4457" w:rsidRDefault="007F1101">
            <w:pPr>
              <w:jc w:val="right"/>
              <w:rPr>
                <w:rFonts w:ascii="Tahoma" w:hAnsi="Tahoma" w:cs="Tahoma"/>
              </w:rPr>
            </w:pPr>
            <w:r w:rsidRPr="00DB4457">
              <w:rPr>
                <w:rFonts w:ascii="Tahoma" w:hAnsi="Tahoma" w:cs="Tahoma"/>
              </w:rPr>
              <w:t>50</w:t>
            </w:r>
          </w:p>
        </w:tc>
        <w:tc>
          <w:tcPr>
            <w:tcW w:w="0" w:type="auto"/>
            <w:tcMar>
              <w:top w:w="15" w:type="dxa"/>
              <w:left w:w="15" w:type="dxa"/>
              <w:bottom w:w="15" w:type="dxa"/>
              <w:right w:w="15" w:type="dxa"/>
            </w:tcMar>
            <w:vAlign w:val="center"/>
            <w:hideMark/>
          </w:tcPr>
          <w:p w:rsidR="007F1101" w:rsidRPr="00DB4457" w:rsidRDefault="007F1101" w:rsidP="003A7E55">
            <w:pPr>
              <w:jc w:val="right"/>
              <w:rPr>
                <w:rFonts w:ascii="Tahoma" w:hAnsi="Tahoma" w:cs="Tahoma"/>
              </w:rPr>
            </w:pPr>
            <w:r w:rsidRPr="00DB4457">
              <w:rPr>
                <w:rFonts w:ascii="Tahoma" w:hAnsi="Tahoma" w:cs="Tahoma"/>
              </w:rPr>
              <w:t>£</w:t>
            </w:r>
            <w:r w:rsidR="003A7E55">
              <w:rPr>
                <w:rFonts w:ascii="Tahoma" w:hAnsi="Tahoma" w:cs="Tahoma"/>
              </w:rPr>
              <w:t>10,403</w:t>
            </w:r>
            <w:r w:rsidRPr="00DB4457">
              <w:rPr>
                <w:rFonts w:ascii="Tahoma" w:hAnsi="Tahoma" w:cs="Tahoma"/>
              </w:rPr>
              <w:t>.00</w:t>
            </w:r>
          </w:p>
        </w:tc>
        <w:tc>
          <w:tcPr>
            <w:tcW w:w="925" w:type="dxa"/>
            <w:tcMar>
              <w:top w:w="15" w:type="dxa"/>
              <w:left w:w="15" w:type="dxa"/>
              <w:bottom w:w="15" w:type="dxa"/>
              <w:right w:w="15" w:type="dxa"/>
            </w:tcMar>
            <w:vAlign w:val="center"/>
            <w:hideMark/>
          </w:tcPr>
          <w:p w:rsidR="007F1101" w:rsidRPr="00DB4457" w:rsidRDefault="007F1101">
            <w:pPr>
              <w:jc w:val="right"/>
              <w:rPr>
                <w:rFonts w:ascii="Tahoma" w:hAnsi="Tahoma" w:cs="Tahoma"/>
              </w:rPr>
            </w:pPr>
            <w:r w:rsidRPr="00DB4457">
              <w:rPr>
                <w:rFonts w:ascii="Tahoma" w:hAnsi="Tahoma" w:cs="Tahoma"/>
              </w:rPr>
              <w:t>£250.00</w:t>
            </w:r>
          </w:p>
        </w:tc>
        <w:tc>
          <w:tcPr>
            <w:tcW w:w="1118" w:type="dxa"/>
            <w:tcMar>
              <w:top w:w="15" w:type="dxa"/>
              <w:left w:w="15" w:type="dxa"/>
              <w:bottom w:w="15" w:type="dxa"/>
              <w:right w:w="15" w:type="dxa"/>
            </w:tcMar>
            <w:vAlign w:val="center"/>
            <w:hideMark/>
          </w:tcPr>
          <w:p w:rsidR="007F1101" w:rsidRPr="007F1101" w:rsidRDefault="007F1101">
            <w:pPr>
              <w:rPr>
                <w:rFonts w:ascii="Tahoma" w:hAnsi="Tahoma" w:cs="Tahoma"/>
              </w:rPr>
            </w:pPr>
            <w:r w:rsidRPr="007F1101">
              <w:rPr>
                <w:rFonts w:ascii="Tahoma" w:hAnsi="Tahoma" w:cs="Tahoma"/>
              </w:rPr>
              <w:t>Free</w:t>
            </w:r>
          </w:p>
        </w:tc>
        <w:tc>
          <w:tcPr>
            <w:tcW w:w="0" w:type="auto"/>
            <w:tcMar>
              <w:top w:w="15" w:type="dxa"/>
              <w:left w:w="15" w:type="dxa"/>
              <w:bottom w:w="15" w:type="dxa"/>
              <w:right w:w="15" w:type="dxa"/>
            </w:tcMar>
            <w:vAlign w:val="center"/>
            <w:hideMark/>
          </w:tcPr>
          <w:p w:rsidR="007F1101" w:rsidRPr="007F1101" w:rsidRDefault="00627664" w:rsidP="00D5143B">
            <w:pPr>
              <w:jc w:val="right"/>
              <w:rPr>
                <w:rFonts w:ascii="Tahoma" w:hAnsi="Tahoma" w:cs="Tahoma"/>
              </w:rPr>
            </w:pPr>
            <w:r>
              <w:rPr>
                <w:rFonts w:ascii="Tahoma" w:hAnsi="Tahoma" w:cs="Tahoma"/>
              </w:rPr>
              <w:t>£71</w:t>
            </w:r>
            <w:r w:rsidR="007F1101" w:rsidRPr="007F1101">
              <w:rPr>
                <w:rFonts w:ascii="Tahoma" w:hAnsi="Tahoma" w:cs="Tahoma"/>
              </w:rPr>
              <w:t>.00</w:t>
            </w:r>
          </w:p>
        </w:tc>
      </w:tr>
      <w:tr w:rsidR="00472912" w:rsidRPr="007F1101" w:rsidTr="00E246BA">
        <w:trPr>
          <w:trHeight w:val="255"/>
          <w:tblCellSpacing w:w="0" w:type="dxa"/>
        </w:trPr>
        <w:tc>
          <w:tcPr>
            <w:tcW w:w="0" w:type="auto"/>
            <w:tcMar>
              <w:top w:w="15" w:type="dxa"/>
              <w:left w:w="15" w:type="dxa"/>
              <w:bottom w:w="15" w:type="dxa"/>
              <w:right w:w="15" w:type="dxa"/>
            </w:tcMar>
            <w:vAlign w:val="center"/>
            <w:hideMark/>
          </w:tcPr>
          <w:p w:rsidR="007F1101" w:rsidRPr="00DB4457" w:rsidRDefault="007F1101">
            <w:pPr>
              <w:rPr>
                <w:rFonts w:ascii="Tahoma" w:hAnsi="Tahoma" w:cs="Tahoma"/>
              </w:rPr>
            </w:pPr>
            <w:r w:rsidRPr="00DB4457">
              <w:rPr>
                <w:rFonts w:ascii="Tahoma" w:hAnsi="Tahoma" w:cs="Tahoma"/>
              </w:rPr>
              <w:t>Intercollegiate Halls</w:t>
            </w:r>
            <w:r w:rsidR="00E246BA">
              <w:rPr>
                <w:rFonts w:ascii="Tahoma" w:hAnsi="Tahoma" w:cs="Tahoma"/>
              </w:rPr>
              <w:t xml:space="preserve"> - The Garden Halls</w:t>
            </w:r>
          </w:p>
        </w:tc>
        <w:tc>
          <w:tcPr>
            <w:tcW w:w="0" w:type="auto"/>
            <w:tcMar>
              <w:top w:w="15" w:type="dxa"/>
              <w:left w:w="15" w:type="dxa"/>
              <w:bottom w:w="15" w:type="dxa"/>
              <w:right w:w="15" w:type="dxa"/>
            </w:tcMar>
            <w:vAlign w:val="center"/>
            <w:hideMark/>
          </w:tcPr>
          <w:p w:rsidR="007F1101" w:rsidRPr="00DB4457" w:rsidRDefault="007F1101" w:rsidP="00E246BA">
            <w:pPr>
              <w:jc w:val="right"/>
              <w:rPr>
                <w:rFonts w:ascii="Tahoma" w:hAnsi="Tahoma" w:cs="Tahoma"/>
              </w:rPr>
            </w:pPr>
            <w:r w:rsidRPr="00DB4457">
              <w:rPr>
                <w:rFonts w:ascii="Tahoma" w:hAnsi="Tahoma" w:cs="Tahoma"/>
              </w:rPr>
              <w:t>£</w:t>
            </w:r>
            <w:r w:rsidR="00E246BA">
              <w:rPr>
                <w:rFonts w:ascii="Tahoma" w:hAnsi="Tahoma" w:cs="Tahoma"/>
              </w:rPr>
              <w:t>195.65</w:t>
            </w:r>
          </w:p>
        </w:tc>
        <w:tc>
          <w:tcPr>
            <w:tcW w:w="0" w:type="auto"/>
            <w:tcMar>
              <w:top w:w="15" w:type="dxa"/>
              <w:left w:w="15" w:type="dxa"/>
              <w:bottom w:w="15" w:type="dxa"/>
              <w:right w:w="15" w:type="dxa"/>
            </w:tcMar>
            <w:vAlign w:val="center"/>
            <w:hideMark/>
          </w:tcPr>
          <w:p w:rsidR="007F1101" w:rsidRPr="00DB4457" w:rsidRDefault="007F1101" w:rsidP="00E246BA">
            <w:pPr>
              <w:jc w:val="right"/>
              <w:rPr>
                <w:rFonts w:ascii="Tahoma" w:hAnsi="Tahoma" w:cs="Tahoma"/>
              </w:rPr>
            </w:pPr>
            <w:r w:rsidRPr="00DB4457">
              <w:rPr>
                <w:rFonts w:ascii="Tahoma" w:hAnsi="Tahoma" w:cs="Tahoma"/>
              </w:rPr>
              <w:t>4</w:t>
            </w:r>
            <w:r w:rsidR="00E246BA">
              <w:rPr>
                <w:rFonts w:ascii="Tahoma" w:hAnsi="Tahoma" w:cs="Tahoma"/>
              </w:rPr>
              <w:t>0</w:t>
            </w:r>
          </w:p>
        </w:tc>
        <w:tc>
          <w:tcPr>
            <w:tcW w:w="0" w:type="auto"/>
            <w:tcMar>
              <w:top w:w="15" w:type="dxa"/>
              <w:left w:w="15" w:type="dxa"/>
              <w:bottom w:w="15" w:type="dxa"/>
              <w:right w:w="15" w:type="dxa"/>
            </w:tcMar>
            <w:vAlign w:val="center"/>
            <w:hideMark/>
          </w:tcPr>
          <w:p w:rsidR="007F1101" w:rsidRPr="00DB4457" w:rsidRDefault="007F1101" w:rsidP="00E246BA">
            <w:pPr>
              <w:jc w:val="right"/>
              <w:rPr>
                <w:rFonts w:ascii="Tahoma" w:hAnsi="Tahoma" w:cs="Tahoma"/>
              </w:rPr>
            </w:pPr>
            <w:r w:rsidRPr="00DB4457">
              <w:rPr>
                <w:rFonts w:ascii="Tahoma" w:hAnsi="Tahoma" w:cs="Tahoma"/>
              </w:rPr>
              <w:t>£</w:t>
            </w:r>
            <w:r w:rsidR="00E246BA">
              <w:rPr>
                <w:rFonts w:ascii="Tahoma" w:hAnsi="Tahoma" w:cs="Tahoma"/>
              </w:rPr>
              <w:t>7,826</w:t>
            </w:r>
            <w:r w:rsidR="008B3276">
              <w:rPr>
                <w:rFonts w:ascii="Tahoma" w:hAnsi="Tahoma" w:cs="Tahoma"/>
              </w:rPr>
              <w:t>.00</w:t>
            </w:r>
          </w:p>
        </w:tc>
        <w:tc>
          <w:tcPr>
            <w:tcW w:w="925" w:type="dxa"/>
            <w:tcMar>
              <w:top w:w="15" w:type="dxa"/>
              <w:left w:w="15" w:type="dxa"/>
              <w:bottom w:w="15" w:type="dxa"/>
              <w:right w:w="15" w:type="dxa"/>
            </w:tcMar>
            <w:vAlign w:val="center"/>
            <w:hideMark/>
          </w:tcPr>
          <w:p w:rsidR="007F1101" w:rsidRPr="00DB4457" w:rsidRDefault="007F1101">
            <w:pPr>
              <w:jc w:val="right"/>
              <w:rPr>
                <w:rFonts w:ascii="Tahoma" w:hAnsi="Tahoma" w:cs="Tahoma"/>
              </w:rPr>
            </w:pPr>
            <w:r w:rsidRPr="00DB4457">
              <w:rPr>
                <w:rFonts w:ascii="Tahoma" w:hAnsi="Tahoma" w:cs="Tahoma"/>
              </w:rPr>
              <w:t>£525.00</w:t>
            </w:r>
          </w:p>
        </w:tc>
        <w:tc>
          <w:tcPr>
            <w:tcW w:w="1118" w:type="dxa"/>
            <w:tcMar>
              <w:top w:w="15" w:type="dxa"/>
              <w:left w:w="15" w:type="dxa"/>
              <w:bottom w:w="15" w:type="dxa"/>
              <w:right w:w="15" w:type="dxa"/>
            </w:tcMar>
            <w:vAlign w:val="center"/>
            <w:hideMark/>
          </w:tcPr>
          <w:p w:rsidR="007F1101" w:rsidRPr="007F1101" w:rsidRDefault="007F1101">
            <w:pPr>
              <w:rPr>
                <w:rFonts w:ascii="Tahoma" w:hAnsi="Tahoma" w:cs="Tahoma"/>
              </w:rPr>
            </w:pPr>
            <w:r w:rsidRPr="007F1101">
              <w:rPr>
                <w:rFonts w:ascii="Tahoma" w:hAnsi="Tahoma" w:cs="Tahoma"/>
              </w:rPr>
              <w:t>Free</w:t>
            </w:r>
          </w:p>
        </w:tc>
        <w:tc>
          <w:tcPr>
            <w:tcW w:w="0" w:type="auto"/>
            <w:tcMar>
              <w:top w:w="15" w:type="dxa"/>
              <w:left w:w="15" w:type="dxa"/>
              <w:bottom w:w="15" w:type="dxa"/>
              <w:right w:w="15" w:type="dxa"/>
            </w:tcMar>
            <w:vAlign w:val="center"/>
            <w:hideMark/>
          </w:tcPr>
          <w:p w:rsidR="007F1101" w:rsidRPr="007F1101" w:rsidRDefault="007F1101" w:rsidP="00D5143B">
            <w:pPr>
              <w:jc w:val="right"/>
              <w:rPr>
                <w:rFonts w:ascii="Tahoma" w:hAnsi="Tahoma" w:cs="Tahoma"/>
              </w:rPr>
            </w:pPr>
            <w:r w:rsidRPr="007F1101">
              <w:rPr>
                <w:rFonts w:ascii="Tahoma" w:hAnsi="Tahoma" w:cs="Tahoma"/>
              </w:rPr>
              <w:t>£</w:t>
            </w:r>
            <w:r w:rsidR="00627664">
              <w:rPr>
                <w:rFonts w:ascii="Tahoma" w:hAnsi="Tahoma" w:cs="Tahoma"/>
                <w:color w:val="1F497D"/>
              </w:rPr>
              <w:t>31</w:t>
            </w:r>
            <w:r w:rsidRPr="007F1101">
              <w:rPr>
                <w:rFonts w:ascii="Tahoma" w:hAnsi="Tahoma" w:cs="Tahoma"/>
              </w:rPr>
              <w:t>.00</w:t>
            </w:r>
          </w:p>
        </w:tc>
      </w:tr>
      <w:tr w:rsidR="00E246BA" w:rsidRPr="007F1101" w:rsidTr="00E246BA">
        <w:trPr>
          <w:trHeight w:val="255"/>
          <w:tblCellSpacing w:w="0" w:type="dxa"/>
        </w:trPr>
        <w:tc>
          <w:tcPr>
            <w:tcW w:w="0" w:type="auto"/>
            <w:tcMar>
              <w:top w:w="15" w:type="dxa"/>
              <w:left w:w="15" w:type="dxa"/>
              <w:bottom w:w="15" w:type="dxa"/>
              <w:right w:w="15" w:type="dxa"/>
            </w:tcMar>
            <w:vAlign w:val="center"/>
          </w:tcPr>
          <w:p w:rsidR="00E246BA" w:rsidRPr="00DB4457" w:rsidRDefault="00E246BA" w:rsidP="00BE6CF0">
            <w:pPr>
              <w:rPr>
                <w:rFonts w:ascii="Tahoma" w:hAnsi="Tahoma" w:cs="Tahoma"/>
              </w:rPr>
            </w:pPr>
            <w:r w:rsidRPr="00DB4457">
              <w:rPr>
                <w:rFonts w:ascii="Tahoma" w:hAnsi="Tahoma" w:cs="Tahoma"/>
              </w:rPr>
              <w:t>Intercollegiate Halls</w:t>
            </w:r>
            <w:r>
              <w:rPr>
                <w:rFonts w:ascii="Tahoma" w:hAnsi="Tahoma" w:cs="Tahoma"/>
              </w:rPr>
              <w:t xml:space="preserve"> – College Hall</w:t>
            </w:r>
          </w:p>
        </w:tc>
        <w:tc>
          <w:tcPr>
            <w:tcW w:w="0" w:type="auto"/>
            <w:tcMar>
              <w:top w:w="15" w:type="dxa"/>
              <w:left w:w="15" w:type="dxa"/>
              <w:bottom w:w="15" w:type="dxa"/>
              <w:right w:w="15" w:type="dxa"/>
            </w:tcMar>
            <w:vAlign w:val="center"/>
          </w:tcPr>
          <w:p w:rsidR="00E246BA" w:rsidRPr="00DB4457" w:rsidRDefault="00E246BA" w:rsidP="00D5143B">
            <w:pPr>
              <w:jc w:val="right"/>
              <w:rPr>
                <w:rFonts w:ascii="Tahoma" w:hAnsi="Tahoma" w:cs="Tahoma"/>
              </w:rPr>
            </w:pPr>
            <w:r>
              <w:rPr>
                <w:rFonts w:ascii="Tahoma" w:hAnsi="Tahoma" w:cs="Tahoma"/>
              </w:rPr>
              <w:t>£214.90</w:t>
            </w:r>
          </w:p>
        </w:tc>
        <w:tc>
          <w:tcPr>
            <w:tcW w:w="0" w:type="auto"/>
            <w:tcMar>
              <w:top w:w="15" w:type="dxa"/>
              <w:left w:w="15" w:type="dxa"/>
              <w:bottom w:w="15" w:type="dxa"/>
              <w:right w:w="15" w:type="dxa"/>
            </w:tcMar>
            <w:vAlign w:val="center"/>
          </w:tcPr>
          <w:p w:rsidR="00E246BA" w:rsidRPr="00DB4457" w:rsidRDefault="00E246BA" w:rsidP="001710C5">
            <w:pPr>
              <w:jc w:val="right"/>
              <w:rPr>
                <w:rFonts w:ascii="Tahoma" w:hAnsi="Tahoma" w:cs="Tahoma"/>
              </w:rPr>
            </w:pPr>
            <w:r>
              <w:rPr>
                <w:rFonts w:ascii="Tahoma" w:hAnsi="Tahoma" w:cs="Tahoma"/>
              </w:rPr>
              <w:t>4</w:t>
            </w:r>
            <w:r w:rsidR="001710C5">
              <w:rPr>
                <w:rFonts w:ascii="Tahoma" w:hAnsi="Tahoma" w:cs="Tahoma"/>
              </w:rPr>
              <w:t>8</w:t>
            </w:r>
          </w:p>
        </w:tc>
        <w:tc>
          <w:tcPr>
            <w:tcW w:w="0" w:type="auto"/>
            <w:tcMar>
              <w:top w:w="15" w:type="dxa"/>
              <w:left w:w="15" w:type="dxa"/>
              <w:bottom w:w="15" w:type="dxa"/>
              <w:right w:w="15" w:type="dxa"/>
            </w:tcMar>
            <w:vAlign w:val="center"/>
          </w:tcPr>
          <w:p w:rsidR="00E246BA" w:rsidRPr="00DB4457" w:rsidRDefault="00E246BA" w:rsidP="001710C5">
            <w:pPr>
              <w:jc w:val="right"/>
              <w:rPr>
                <w:rFonts w:ascii="Tahoma" w:hAnsi="Tahoma" w:cs="Tahoma"/>
              </w:rPr>
            </w:pPr>
            <w:r>
              <w:rPr>
                <w:rFonts w:ascii="Tahoma" w:hAnsi="Tahoma" w:cs="Tahoma"/>
              </w:rPr>
              <w:t>£</w:t>
            </w:r>
            <w:r w:rsidR="001710C5">
              <w:rPr>
                <w:rFonts w:ascii="Tahoma" w:hAnsi="Tahoma" w:cs="Tahoma"/>
              </w:rPr>
              <w:t>10</w:t>
            </w:r>
            <w:r>
              <w:rPr>
                <w:rFonts w:ascii="Tahoma" w:hAnsi="Tahoma" w:cs="Tahoma"/>
              </w:rPr>
              <w:t>,</w:t>
            </w:r>
            <w:r w:rsidR="001710C5">
              <w:rPr>
                <w:rFonts w:ascii="Tahoma" w:hAnsi="Tahoma" w:cs="Tahoma"/>
              </w:rPr>
              <w:t>315</w:t>
            </w:r>
            <w:r>
              <w:rPr>
                <w:rFonts w:ascii="Tahoma" w:hAnsi="Tahoma" w:cs="Tahoma"/>
              </w:rPr>
              <w:t>.00</w:t>
            </w:r>
          </w:p>
        </w:tc>
        <w:tc>
          <w:tcPr>
            <w:tcW w:w="925" w:type="dxa"/>
            <w:tcMar>
              <w:top w:w="15" w:type="dxa"/>
              <w:left w:w="15" w:type="dxa"/>
              <w:bottom w:w="15" w:type="dxa"/>
              <w:right w:w="15" w:type="dxa"/>
            </w:tcMar>
            <w:vAlign w:val="center"/>
          </w:tcPr>
          <w:p w:rsidR="00E246BA" w:rsidRPr="00DB4457" w:rsidRDefault="00E246BA" w:rsidP="00D5143B">
            <w:pPr>
              <w:jc w:val="right"/>
              <w:rPr>
                <w:rFonts w:ascii="Tahoma" w:hAnsi="Tahoma" w:cs="Tahoma"/>
              </w:rPr>
            </w:pPr>
            <w:r w:rsidRPr="00DB4457">
              <w:rPr>
                <w:rFonts w:ascii="Tahoma" w:hAnsi="Tahoma" w:cs="Tahoma"/>
              </w:rPr>
              <w:t>£525.00</w:t>
            </w:r>
          </w:p>
        </w:tc>
        <w:tc>
          <w:tcPr>
            <w:tcW w:w="1118" w:type="dxa"/>
            <w:tcMar>
              <w:top w:w="15" w:type="dxa"/>
              <w:left w:w="15" w:type="dxa"/>
              <w:bottom w:w="15" w:type="dxa"/>
              <w:right w:w="15" w:type="dxa"/>
            </w:tcMar>
            <w:vAlign w:val="center"/>
          </w:tcPr>
          <w:p w:rsidR="00E246BA" w:rsidRDefault="00E246BA">
            <w:pPr>
              <w:rPr>
                <w:rFonts w:ascii="Tahoma" w:hAnsi="Tahoma" w:cs="Tahoma"/>
              </w:rPr>
            </w:pPr>
            <w:r>
              <w:rPr>
                <w:rFonts w:ascii="Tahoma" w:hAnsi="Tahoma" w:cs="Tahoma"/>
              </w:rPr>
              <w:t>Free</w:t>
            </w:r>
          </w:p>
        </w:tc>
        <w:tc>
          <w:tcPr>
            <w:tcW w:w="0" w:type="auto"/>
            <w:tcMar>
              <w:top w:w="15" w:type="dxa"/>
              <w:left w:w="15" w:type="dxa"/>
              <w:bottom w:w="15" w:type="dxa"/>
              <w:right w:w="15" w:type="dxa"/>
            </w:tcMar>
            <w:vAlign w:val="center"/>
          </w:tcPr>
          <w:p w:rsidR="00E246BA" w:rsidRPr="007F1101" w:rsidRDefault="00627664" w:rsidP="00D5143B">
            <w:pPr>
              <w:jc w:val="right"/>
              <w:rPr>
                <w:rFonts w:ascii="Tahoma" w:hAnsi="Tahoma" w:cs="Tahoma"/>
              </w:rPr>
            </w:pPr>
            <w:r>
              <w:rPr>
                <w:rFonts w:ascii="Tahoma" w:hAnsi="Tahoma" w:cs="Tahoma"/>
              </w:rPr>
              <w:t>£31</w:t>
            </w:r>
            <w:r w:rsidR="00E246BA">
              <w:rPr>
                <w:rFonts w:ascii="Tahoma" w:hAnsi="Tahoma" w:cs="Tahoma"/>
              </w:rPr>
              <w:t>.00</w:t>
            </w:r>
          </w:p>
        </w:tc>
      </w:tr>
      <w:tr w:rsidR="00E246BA" w:rsidRPr="007F1101" w:rsidTr="00E246BA">
        <w:trPr>
          <w:trHeight w:val="255"/>
          <w:tblCellSpacing w:w="0" w:type="dxa"/>
        </w:trPr>
        <w:tc>
          <w:tcPr>
            <w:tcW w:w="0" w:type="auto"/>
            <w:tcMar>
              <w:top w:w="15" w:type="dxa"/>
              <w:left w:w="15" w:type="dxa"/>
              <w:bottom w:w="15" w:type="dxa"/>
              <w:right w:w="15" w:type="dxa"/>
            </w:tcMar>
            <w:vAlign w:val="center"/>
          </w:tcPr>
          <w:p w:rsidR="00E246BA" w:rsidRPr="00DB4457" w:rsidRDefault="00735C09" w:rsidP="00BE6CF0">
            <w:pPr>
              <w:rPr>
                <w:rFonts w:ascii="Tahoma" w:hAnsi="Tahoma" w:cs="Tahoma"/>
              </w:rPr>
            </w:pPr>
            <w:r>
              <w:rPr>
                <w:rFonts w:ascii="Tahoma" w:hAnsi="Tahoma" w:cs="Tahoma"/>
              </w:rPr>
              <w:t xml:space="preserve">Mannequin House </w:t>
            </w:r>
            <w:r w:rsidRPr="00735C09">
              <w:rPr>
                <w:rFonts w:ascii="Tahoma" w:hAnsi="Tahoma" w:cs="Tahoma"/>
                <w:sz w:val="20"/>
                <w:szCs w:val="20"/>
              </w:rPr>
              <w:t>(silver)</w:t>
            </w:r>
          </w:p>
        </w:tc>
        <w:tc>
          <w:tcPr>
            <w:tcW w:w="0" w:type="auto"/>
            <w:tcMar>
              <w:top w:w="15" w:type="dxa"/>
              <w:left w:w="15" w:type="dxa"/>
              <w:bottom w:w="15" w:type="dxa"/>
              <w:right w:w="15" w:type="dxa"/>
            </w:tcMar>
            <w:vAlign w:val="center"/>
          </w:tcPr>
          <w:p w:rsidR="00E246BA" w:rsidRPr="00DB4457" w:rsidRDefault="00735C09" w:rsidP="006E676C">
            <w:pPr>
              <w:jc w:val="right"/>
              <w:rPr>
                <w:rFonts w:ascii="Tahoma" w:hAnsi="Tahoma" w:cs="Tahoma"/>
              </w:rPr>
            </w:pPr>
            <w:r>
              <w:rPr>
                <w:rFonts w:ascii="Tahoma" w:hAnsi="Tahoma" w:cs="Tahoma"/>
              </w:rPr>
              <w:t>£199</w:t>
            </w:r>
            <w:r w:rsidR="00E246BA">
              <w:rPr>
                <w:rFonts w:ascii="Tahoma" w:hAnsi="Tahoma" w:cs="Tahoma"/>
              </w:rPr>
              <w:t>.00</w:t>
            </w:r>
          </w:p>
        </w:tc>
        <w:tc>
          <w:tcPr>
            <w:tcW w:w="0" w:type="auto"/>
            <w:tcMar>
              <w:top w:w="15" w:type="dxa"/>
              <w:left w:w="15" w:type="dxa"/>
              <w:bottom w:w="15" w:type="dxa"/>
              <w:right w:w="15" w:type="dxa"/>
            </w:tcMar>
            <w:vAlign w:val="center"/>
          </w:tcPr>
          <w:p w:rsidR="00E246BA" w:rsidRPr="00DB4457" w:rsidRDefault="00735C09">
            <w:pPr>
              <w:jc w:val="right"/>
              <w:rPr>
                <w:rFonts w:ascii="Tahoma" w:hAnsi="Tahoma" w:cs="Tahoma"/>
              </w:rPr>
            </w:pPr>
            <w:r>
              <w:rPr>
                <w:rFonts w:ascii="Tahoma" w:hAnsi="Tahoma" w:cs="Tahoma"/>
              </w:rPr>
              <w:t>45</w:t>
            </w:r>
          </w:p>
        </w:tc>
        <w:tc>
          <w:tcPr>
            <w:tcW w:w="0" w:type="auto"/>
            <w:tcMar>
              <w:top w:w="15" w:type="dxa"/>
              <w:left w:w="15" w:type="dxa"/>
              <w:bottom w:w="15" w:type="dxa"/>
              <w:right w:w="15" w:type="dxa"/>
            </w:tcMar>
            <w:vAlign w:val="center"/>
          </w:tcPr>
          <w:p w:rsidR="00E246BA" w:rsidRPr="00DB4457" w:rsidRDefault="00735C09" w:rsidP="006E676C">
            <w:pPr>
              <w:jc w:val="right"/>
              <w:rPr>
                <w:rFonts w:ascii="Tahoma" w:hAnsi="Tahoma" w:cs="Tahoma"/>
              </w:rPr>
            </w:pPr>
            <w:r>
              <w:rPr>
                <w:rFonts w:ascii="Tahoma" w:hAnsi="Tahoma" w:cs="Tahoma"/>
              </w:rPr>
              <w:t>£8,955</w:t>
            </w:r>
            <w:r w:rsidR="00E246BA">
              <w:rPr>
                <w:rFonts w:ascii="Tahoma" w:hAnsi="Tahoma" w:cs="Tahoma"/>
              </w:rPr>
              <w:t>.00</w:t>
            </w:r>
          </w:p>
        </w:tc>
        <w:tc>
          <w:tcPr>
            <w:tcW w:w="925" w:type="dxa"/>
            <w:tcMar>
              <w:top w:w="15" w:type="dxa"/>
              <w:left w:w="15" w:type="dxa"/>
              <w:bottom w:w="15" w:type="dxa"/>
              <w:right w:w="15" w:type="dxa"/>
            </w:tcMar>
            <w:vAlign w:val="center"/>
          </w:tcPr>
          <w:p w:rsidR="00E246BA" w:rsidRPr="00DB4457" w:rsidRDefault="006E676C" w:rsidP="00D5143B">
            <w:pPr>
              <w:jc w:val="right"/>
              <w:rPr>
                <w:rFonts w:ascii="Tahoma" w:hAnsi="Tahoma" w:cs="Tahoma"/>
              </w:rPr>
            </w:pPr>
            <w:r>
              <w:rPr>
                <w:rFonts w:ascii="Tahoma" w:hAnsi="Tahoma" w:cs="Tahoma"/>
              </w:rPr>
              <w:t>£250.00</w:t>
            </w:r>
          </w:p>
        </w:tc>
        <w:tc>
          <w:tcPr>
            <w:tcW w:w="1118" w:type="dxa"/>
            <w:tcMar>
              <w:top w:w="15" w:type="dxa"/>
              <w:left w:w="15" w:type="dxa"/>
              <w:bottom w:w="15" w:type="dxa"/>
              <w:right w:w="15" w:type="dxa"/>
            </w:tcMar>
            <w:vAlign w:val="center"/>
          </w:tcPr>
          <w:p w:rsidR="00E246BA" w:rsidRDefault="00540E58">
            <w:pPr>
              <w:rPr>
                <w:rFonts w:ascii="Tahoma" w:hAnsi="Tahoma" w:cs="Tahoma"/>
              </w:rPr>
            </w:pPr>
            <w:r>
              <w:rPr>
                <w:rFonts w:ascii="Tahoma" w:hAnsi="Tahoma" w:cs="Tahoma"/>
              </w:rPr>
              <w:t>Free</w:t>
            </w:r>
          </w:p>
        </w:tc>
        <w:tc>
          <w:tcPr>
            <w:tcW w:w="0" w:type="auto"/>
            <w:tcMar>
              <w:top w:w="15" w:type="dxa"/>
              <w:left w:w="15" w:type="dxa"/>
              <w:bottom w:w="15" w:type="dxa"/>
              <w:right w:w="15" w:type="dxa"/>
            </w:tcMar>
            <w:vAlign w:val="center"/>
          </w:tcPr>
          <w:p w:rsidR="00E246BA" w:rsidRPr="007F1101" w:rsidRDefault="00627664" w:rsidP="00D5143B">
            <w:pPr>
              <w:jc w:val="right"/>
              <w:rPr>
                <w:rFonts w:ascii="Tahoma" w:hAnsi="Tahoma" w:cs="Tahoma"/>
              </w:rPr>
            </w:pPr>
            <w:r>
              <w:rPr>
                <w:rFonts w:ascii="Tahoma" w:hAnsi="Tahoma" w:cs="Tahoma"/>
              </w:rPr>
              <w:t>£71</w:t>
            </w:r>
            <w:r w:rsidR="00540E58" w:rsidRPr="007F1101">
              <w:rPr>
                <w:rFonts w:ascii="Tahoma" w:hAnsi="Tahoma" w:cs="Tahoma"/>
              </w:rPr>
              <w:t>.00</w:t>
            </w:r>
          </w:p>
        </w:tc>
      </w:tr>
      <w:tr w:rsidR="00735C09" w:rsidRPr="007F1101" w:rsidTr="00E246BA">
        <w:trPr>
          <w:trHeight w:val="255"/>
          <w:tblCellSpacing w:w="0" w:type="dxa"/>
        </w:trPr>
        <w:tc>
          <w:tcPr>
            <w:tcW w:w="0" w:type="auto"/>
            <w:tcMar>
              <w:top w:w="15" w:type="dxa"/>
              <w:left w:w="15" w:type="dxa"/>
              <w:bottom w:w="15" w:type="dxa"/>
              <w:right w:w="15" w:type="dxa"/>
            </w:tcMar>
            <w:vAlign w:val="center"/>
          </w:tcPr>
          <w:p w:rsidR="00735C09" w:rsidRPr="00DB4457" w:rsidRDefault="00735C09" w:rsidP="00735C09">
            <w:pPr>
              <w:rPr>
                <w:rFonts w:ascii="Tahoma" w:hAnsi="Tahoma" w:cs="Tahoma"/>
              </w:rPr>
            </w:pPr>
            <w:r>
              <w:rPr>
                <w:rFonts w:ascii="Tahoma" w:hAnsi="Tahoma" w:cs="Tahoma"/>
              </w:rPr>
              <w:t>Mannequin House (</w:t>
            </w:r>
            <w:r w:rsidRPr="00735C09">
              <w:rPr>
                <w:rFonts w:ascii="Tahoma" w:hAnsi="Tahoma" w:cs="Tahoma"/>
                <w:sz w:val="20"/>
                <w:szCs w:val="20"/>
              </w:rPr>
              <w:t>bronze)</w:t>
            </w:r>
          </w:p>
        </w:tc>
        <w:tc>
          <w:tcPr>
            <w:tcW w:w="0" w:type="auto"/>
            <w:tcMar>
              <w:top w:w="15" w:type="dxa"/>
              <w:left w:w="15" w:type="dxa"/>
              <w:bottom w:w="15" w:type="dxa"/>
              <w:right w:w="15" w:type="dxa"/>
            </w:tcMar>
            <w:vAlign w:val="center"/>
          </w:tcPr>
          <w:p w:rsidR="00735C09" w:rsidRPr="00DB4457" w:rsidRDefault="00735C09" w:rsidP="006E676C">
            <w:pPr>
              <w:jc w:val="right"/>
              <w:rPr>
                <w:rFonts w:ascii="Tahoma" w:hAnsi="Tahoma" w:cs="Tahoma"/>
              </w:rPr>
            </w:pPr>
            <w:r>
              <w:rPr>
                <w:rFonts w:ascii="Tahoma" w:hAnsi="Tahoma" w:cs="Tahoma"/>
              </w:rPr>
              <w:t>£194.00</w:t>
            </w:r>
          </w:p>
        </w:tc>
        <w:tc>
          <w:tcPr>
            <w:tcW w:w="0" w:type="auto"/>
            <w:tcMar>
              <w:top w:w="15" w:type="dxa"/>
              <w:left w:w="15" w:type="dxa"/>
              <w:bottom w:w="15" w:type="dxa"/>
              <w:right w:w="15" w:type="dxa"/>
            </w:tcMar>
            <w:vAlign w:val="center"/>
          </w:tcPr>
          <w:p w:rsidR="00735C09" w:rsidRPr="00DB4457" w:rsidRDefault="00735C09">
            <w:pPr>
              <w:jc w:val="right"/>
              <w:rPr>
                <w:rFonts w:ascii="Tahoma" w:hAnsi="Tahoma" w:cs="Tahoma"/>
              </w:rPr>
            </w:pPr>
            <w:r>
              <w:rPr>
                <w:rFonts w:ascii="Tahoma" w:hAnsi="Tahoma" w:cs="Tahoma"/>
              </w:rPr>
              <w:t>45</w:t>
            </w:r>
          </w:p>
        </w:tc>
        <w:tc>
          <w:tcPr>
            <w:tcW w:w="0" w:type="auto"/>
            <w:tcMar>
              <w:top w:w="15" w:type="dxa"/>
              <w:left w:w="15" w:type="dxa"/>
              <w:bottom w:w="15" w:type="dxa"/>
              <w:right w:w="15" w:type="dxa"/>
            </w:tcMar>
            <w:vAlign w:val="center"/>
          </w:tcPr>
          <w:p w:rsidR="00735C09" w:rsidRPr="00DB4457" w:rsidRDefault="00735C09" w:rsidP="006E676C">
            <w:pPr>
              <w:jc w:val="right"/>
              <w:rPr>
                <w:rFonts w:ascii="Tahoma" w:hAnsi="Tahoma" w:cs="Tahoma"/>
              </w:rPr>
            </w:pPr>
            <w:r>
              <w:rPr>
                <w:rFonts w:ascii="Tahoma" w:hAnsi="Tahoma" w:cs="Tahoma"/>
              </w:rPr>
              <w:t>£8,730.00</w:t>
            </w:r>
          </w:p>
        </w:tc>
        <w:tc>
          <w:tcPr>
            <w:tcW w:w="925" w:type="dxa"/>
            <w:tcMar>
              <w:top w:w="15" w:type="dxa"/>
              <w:left w:w="15" w:type="dxa"/>
              <w:bottom w:w="15" w:type="dxa"/>
              <w:right w:w="15" w:type="dxa"/>
            </w:tcMar>
            <w:vAlign w:val="center"/>
          </w:tcPr>
          <w:p w:rsidR="00735C09" w:rsidRPr="00DB4457" w:rsidRDefault="00735C09" w:rsidP="006E676C">
            <w:pPr>
              <w:jc w:val="right"/>
              <w:rPr>
                <w:rFonts w:ascii="Tahoma" w:hAnsi="Tahoma" w:cs="Tahoma"/>
              </w:rPr>
            </w:pPr>
            <w:r>
              <w:rPr>
                <w:rFonts w:ascii="Tahoma" w:hAnsi="Tahoma" w:cs="Tahoma"/>
              </w:rPr>
              <w:t>£250.00</w:t>
            </w:r>
          </w:p>
        </w:tc>
        <w:tc>
          <w:tcPr>
            <w:tcW w:w="1118" w:type="dxa"/>
            <w:tcMar>
              <w:top w:w="15" w:type="dxa"/>
              <w:left w:w="15" w:type="dxa"/>
              <w:bottom w:w="15" w:type="dxa"/>
              <w:right w:w="15" w:type="dxa"/>
            </w:tcMar>
            <w:vAlign w:val="center"/>
          </w:tcPr>
          <w:p w:rsidR="00735C09" w:rsidRDefault="00735C09">
            <w:pPr>
              <w:rPr>
                <w:rFonts w:ascii="Tahoma" w:hAnsi="Tahoma" w:cs="Tahoma"/>
              </w:rPr>
            </w:pPr>
            <w:r>
              <w:rPr>
                <w:rFonts w:ascii="Tahoma" w:hAnsi="Tahoma" w:cs="Tahoma"/>
              </w:rPr>
              <w:t>Free</w:t>
            </w:r>
          </w:p>
        </w:tc>
        <w:tc>
          <w:tcPr>
            <w:tcW w:w="0" w:type="auto"/>
            <w:tcMar>
              <w:top w:w="15" w:type="dxa"/>
              <w:left w:w="15" w:type="dxa"/>
              <w:bottom w:w="15" w:type="dxa"/>
              <w:right w:w="15" w:type="dxa"/>
            </w:tcMar>
            <w:vAlign w:val="center"/>
          </w:tcPr>
          <w:p w:rsidR="00735C09" w:rsidRDefault="00735C09" w:rsidP="00D5143B">
            <w:pPr>
              <w:jc w:val="right"/>
              <w:rPr>
                <w:rFonts w:ascii="Tahoma" w:hAnsi="Tahoma" w:cs="Tahoma"/>
              </w:rPr>
            </w:pPr>
            <w:r>
              <w:rPr>
                <w:rFonts w:ascii="Tahoma" w:hAnsi="Tahoma" w:cs="Tahoma"/>
              </w:rPr>
              <w:t>£71.00</w:t>
            </w:r>
          </w:p>
        </w:tc>
      </w:tr>
      <w:tr w:rsidR="005125A9" w:rsidRPr="007F1101" w:rsidTr="00E246BA">
        <w:trPr>
          <w:trHeight w:val="255"/>
          <w:tblCellSpacing w:w="0" w:type="dxa"/>
        </w:trPr>
        <w:tc>
          <w:tcPr>
            <w:tcW w:w="0" w:type="auto"/>
            <w:tcMar>
              <w:top w:w="15" w:type="dxa"/>
              <w:left w:w="15" w:type="dxa"/>
              <w:bottom w:w="15" w:type="dxa"/>
              <w:right w:w="15" w:type="dxa"/>
            </w:tcMar>
            <w:vAlign w:val="center"/>
          </w:tcPr>
          <w:p w:rsidR="00145B24" w:rsidRPr="00DB4457" w:rsidRDefault="00145B24" w:rsidP="00BE6CF0">
            <w:pPr>
              <w:rPr>
                <w:rFonts w:ascii="Tahoma" w:hAnsi="Tahoma" w:cs="Tahoma"/>
              </w:rPr>
            </w:pPr>
            <w:r w:rsidRPr="00DB4457">
              <w:rPr>
                <w:rFonts w:ascii="Tahoma" w:hAnsi="Tahoma" w:cs="Tahoma"/>
              </w:rPr>
              <w:t>Student Village</w:t>
            </w:r>
            <w:r w:rsidR="00BE6CF0">
              <w:rPr>
                <w:rFonts w:ascii="Tahoma" w:hAnsi="Tahoma" w:cs="Tahoma"/>
              </w:rPr>
              <w:t xml:space="preserve"> </w:t>
            </w:r>
          </w:p>
        </w:tc>
        <w:tc>
          <w:tcPr>
            <w:tcW w:w="0" w:type="auto"/>
            <w:tcMar>
              <w:top w:w="15" w:type="dxa"/>
              <w:left w:w="15" w:type="dxa"/>
              <w:bottom w:w="15" w:type="dxa"/>
              <w:right w:w="15" w:type="dxa"/>
            </w:tcMar>
            <w:vAlign w:val="center"/>
          </w:tcPr>
          <w:p w:rsidR="00145B24" w:rsidRPr="00DB4457" w:rsidRDefault="00145B24" w:rsidP="00223F20">
            <w:pPr>
              <w:jc w:val="right"/>
              <w:rPr>
                <w:rFonts w:ascii="Tahoma" w:hAnsi="Tahoma" w:cs="Tahoma"/>
              </w:rPr>
            </w:pPr>
            <w:r w:rsidRPr="00DB4457">
              <w:rPr>
                <w:rFonts w:ascii="Tahoma" w:hAnsi="Tahoma" w:cs="Tahoma"/>
              </w:rPr>
              <w:t>£</w:t>
            </w:r>
            <w:r w:rsidR="00223F20">
              <w:rPr>
                <w:rFonts w:ascii="Tahoma" w:hAnsi="Tahoma" w:cs="Tahoma"/>
              </w:rPr>
              <w:t>131.00</w:t>
            </w:r>
          </w:p>
        </w:tc>
        <w:tc>
          <w:tcPr>
            <w:tcW w:w="0" w:type="auto"/>
            <w:tcMar>
              <w:top w:w="15" w:type="dxa"/>
              <w:left w:w="15" w:type="dxa"/>
              <w:bottom w:w="15" w:type="dxa"/>
              <w:right w:w="15" w:type="dxa"/>
            </w:tcMar>
            <w:vAlign w:val="center"/>
          </w:tcPr>
          <w:p w:rsidR="00145B24" w:rsidRPr="00DB4457" w:rsidRDefault="00145B24">
            <w:pPr>
              <w:jc w:val="right"/>
              <w:rPr>
                <w:rFonts w:ascii="Tahoma" w:hAnsi="Tahoma" w:cs="Tahoma"/>
              </w:rPr>
            </w:pPr>
            <w:r w:rsidRPr="00DB4457">
              <w:rPr>
                <w:rFonts w:ascii="Tahoma" w:hAnsi="Tahoma" w:cs="Tahoma"/>
              </w:rPr>
              <w:t>46</w:t>
            </w:r>
          </w:p>
        </w:tc>
        <w:tc>
          <w:tcPr>
            <w:tcW w:w="0" w:type="auto"/>
            <w:tcMar>
              <w:top w:w="15" w:type="dxa"/>
              <w:left w:w="15" w:type="dxa"/>
              <w:bottom w:w="15" w:type="dxa"/>
              <w:right w:w="15" w:type="dxa"/>
            </w:tcMar>
            <w:vAlign w:val="center"/>
          </w:tcPr>
          <w:p w:rsidR="00145B24" w:rsidRPr="00DB4457" w:rsidRDefault="00145B24" w:rsidP="00223F20">
            <w:pPr>
              <w:jc w:val="right"/>
              <w:rPr>
                <w:rFonts w:ascii="Tahoma" w:hAnsi="Tahoma" w:cs="Tahoma"/>
              </w:rPr>
            </w:pPr>
            <w:r w:rsidRPr="00DB4457">
              <w:rPr>
                <w:rFonts w:ascii="Tahoma" w:hAnsi="Tahoma" w:cs="Tahoma"/>
              </w:rPr>
              <w:t>£</w:t>
            </w:r>
            <w:r w:rsidR="00223F20">
              <w:rPr>
                <w:rFonts w:ascii="Tahoma" w:hAnsi="Tahoma" w:cs="Tahoma"/>
              </w:rPr>
              <w:t>6,026</w:t>
            </w:r>
            <w:r w:rsidR="00AB10D1" w:rsidRPr="00DB4457">
              <w:rPr>
                <w:rFonts w:ascii="Tahoma" w:hAnsi="Tahoma" w:cs="Tahoma"/>
              </w:rPr>
              <w:t>.00</w:t>
            </w:r>
          </w:p>
        </w:tc>
        <w:tc>
          <w:tcPr>
            <w:tcW w:w="925" w:type="dxa"/>
            <w:tcMar>
              <w:top w:w="15" w:type="dxa"/>
              <w:left w:w="15" w:type="dxa"/>
              <w:bottom w:w="15" w:type="dxa"/>
              <w:right w:w="15" w:type="dxa"/>
            </w:tcMar>
            <w:vAlign w:val="center"/>
          </w:tcPr>
          <w:p w:rsidR="00145B24" w:rsidRPr="00DB4457" w:rsidRDefault="00145B24" w:rsidP="006E676C">
            <w:pPr>
              <w:jc w:val="right"/>
              <w:rPr>
                <w:rFonts w:ascii="Tahoma" w:hAnsi="Tahoma" w:cs="Tahoma"/>
              </w:rPr>
            </w:pPr>
            <w:r w:rsidRPr="00DB4457">
              <w:rPr>
                <w:rFonts w:ascii="Tahoma" w:hAnsi="Tahoma" w:cs="Tahoma"/>
              </w:rPr>
              <w:t>£</w:t>
            </w:r>
            <w:r w:rsidR="006E676C">
              <w:rPr>
                <w:rFonts w:ascii="Tahoma" w:hAnsi="Tahoma" w:cs="Tahoma"/>
              </w:rPr>
              <w:t>30</w:t>
            </w:r>
            <w:r w:rsidR="00D5143B">
              <w:rPr>
                <w:rFonts w:ascii="Tahoma" w:hAnsi="Tahoma" w:cs="Tahoma"/>
              </w:rPr>
              <w:t>0</w:t>
            </w:r>
            <w:r w:rsidR="005057F7">
              <w:rPr>
                <w:rFonts w:ascii="Tahoma" w:hAnsi="Tahoma" w:cs="Tahoma"/>
              </w:rPr>
              <w:t>.</w:t>
            </w:r>
            <w:r w:rsidR="00F90B3C">
              <w:rPr>
                <w:rFonts w:ascii="Tahoma" w:hAnsi="Tahoma" w:cs="Tahoma"/>
              </w:rPr>
              <w:t>0</w:t>
            </w:r>
            <w:r w:rsidR="005057F7">
              <w:rPr>
                <w:rFonts w:ascii="Tahoma" w:hAnsi="Tahoma" w:cs="Tahoma"/>
              </w:rPr>
              <w:t>0</w:t>
            </w:r>
          </w:p>
        </w:tc>
        <w:tc>
          <w:tcPr>
            <w:tcW w:w="1118" w:type="dxa"/>
            <w:tcMar>
              <w:top w:w="15" w:type="dxa"/>
              <w:left w:w="15" w:type="dxa"/>
              <w:bottom w:w="15" w:type="dxa"/>
              <w:right w:w="15" w:type="dxa"/>
            </w:tcMar>
            <w:vAlign w:val="center"/>
          </w:tcPr>
          <w:p w:rsidR="00145B24" w:rsidRPr="007F1101" w:rsidRDefault="00145B24">
            <w:pPr>
              <w:rPr>
                <w:rFonts w:ascii="Tahoma" w:hAnsi="Tahoma" w:cs="Tahoma"/>
              </w:rPr>
            </w:pPr>
            <w:r>
              <w:rPr>
                <w:rFonts w:ascii="Tahoma" w:hAnsi="Tahoma" w:cs="Tahoma"/>
              </w:rPr>
              <w:t>Free</w:t>
            </w:r>
          </w:p>
        </w:tc>
        <w:tc>
          <w:tcPr>
            <w:tcW w:w="0" w:type="auto"/>
            <w:tcMar>
              <w:top w:w="15" w:type="dxa"/>
              <w:left w:w="15" w:type="dxa"/>
              <w:bottom w:w="15" w:type="dxa"/>
              <w:right w:w="15" w:type="dxa"/>
            </w:tcMar>
            <w:vAlign w:val="center"/>
          </w:tcPr>
          <w:p w:rsidR="00145B24" w:rsidRPr="007F1101" w:rsidRDefault="00627664" w:rsidP="00D5143B">
            <w:pPr>
              <w:jc w:val="right"/>
              <w:rPr>
                <w:rFonts w:ascii="Tahoma" w:hAnsi="Tahoma" w:cs="Tahoma"/>
              </w:rPr>
            </w:pPr>
            <w:r>
              <w:rPr>
                <w:rFonts w:ascii="Tahoma" w:hAnsi="Tahoma" w:cs="Tahoma"/>
              </w:rPr>
              <w:t>£71</w:t>
            </w:r>
            <w:r w:rsidR="00145B24" w:rsidRPr="007F1101">
              <w:rPr>
                <w:rFonts w:ascii="Tahoma" w:hAnsi="Tahoma" w:cs="Tahoma"/>
              </w:rPr>
              <w:t>.00</w:t>
            </w:r>
          </w:p>
        </w:tc>
      </w:tr>
      <w:tr w:rsidR="00BE6CF0" w:rsidRPr="007F1101" w:rsidTr="00E246BA">
        <w:trPr>
          <w:trHeight w:val="255"/>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6CF0" w:rsidRPr="00DB4457" w:rsidRDefault="00BE6CF0" w:rsidP="00484E08">
            <w:pPr>
              <w:rPr>
                <w:rFonts w:ascii="Tahoma" w:hAnsi="Tahoma" w:cs="Tahoma"/>
              </w:rPr>
            </w:pPr>
            <w:r>
              <w:rPr>
                <w:rFonts w:ascii="Tahoma" w:hAnsi="Tahoma" w:cs="Tahoma"/>
              </w:rPr>
              <w:t>College Close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6CF0" w:rsidRPr="00DB4457" w:rsidRDefault="00BE6CF0" w:rsidP="002C10DB">
            <w:pPr>
              <w:jc w:val="right"/>
              <w:rPr>
                <w:rFonts w:ascii="Tahoma" w:hAnsi="Tahoma" w:cs="Tahoma"/>
              </w:rPr>
            </w:pPr>
            <w:r w:rsidRPr="00DB4457">
              <w:rPr>
                <w:rFonts w:ascii="Tahoma" w:hAnsi="Tahoma" w:cs="Tahoma"/>
              </w:rPr>
              <w:t>£1</w:t>
            </w:r>
            <w:r w:rsidR="002C10DB">
              <w:rPr>
                <w:rFonts w:ascii="Tahoma" w:hAnsi="Tahoma" w:cs="Tahoma"/>
              </w:rPr>
              <w:t>19.50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6CF0" w:rsidRPr="00DB4457" w:rsidRDefault="00BE6CF0" w:rsidP="00E233B1">
            <w:pPr>
              <w:jc w:val="right"/>
              <w:rPr>
                <w:rFonts w:ascii="Tahoma" w:hAnsi="Tahoma" w:cs="Tahoma"/>
              </w:rPr>
            </w:pPr>
            <w:r>
              <w:rPr>
                <w:rFonts w:ascii="Tahoma" w:hAnsi="Tahoma" w:cs="Tahoma"/>
              </w:rPr>
              <w:t>Flexible contract</w:t>
            </w:r>
          </w:p>
        </w:tc>
        <w:tc>
          <w:tcPr>
            <w:tcW w:w="9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6CF0" w:rsidRPr="00DB4457" w:rsidRDefault="00BE6CF0" w:rsidP="002C10DB">
            <w:pPr>
              <w:jc w:val="right"/>
              <w:rPr>
                <w:rFonts w:ascii="Tahoma" w:hAnsi="Tahoma" w:cs="Tahoma"/>
              </w:rPr>
            </w:pPr>
            <w:r w:rsidRPr="00DB4457">
              <w:rPr>
                <w:rFonts w:ascii="Tahoma" w:hAnsi="Tahoma" w:cs="Tahoma"/>
              </w:rPr>
              <w:t>£1</w:t>
            </w:r>
            <w:r>
              <w:rPr>
                <w:rFonts w:ascii="Tahoma" w:hAnsi="Tahoma" w:cs="Tahoma"/>
              </w:rPr>
              <w:t>1</w:t>
            </w:r>
            <w:r w:rsidR="002C10DB">
              <w:rPr>
                <w:rFonts w:ascii="Tahoma" w:hAnsi="Tahoma" w:cs="Tahoma"/>
              </w:rPr>
              <w:t>9</w:t>
            </w:r>
            <w:r w:rsidRPr="00DB4457">
              <w:rPr>
                <w:rFonts w:ascii="Tahoma" w:hAnsi="Tahoma" w:cs="Tahoma"/>
              </w:rPr>
              <w:t>.</w:t>
            </w:r>
            <w:r w:rsidR="002C10DB">
              <w:rPr>
                <w:rFonts w:ascii="Tahoma" w:hAnsi="Tahoma" w:cs="Tahoma"/>
              </w:rPr>
              <w:t>50</w:t>
            </w:r>
          </w:p>
        </w:tc>
        <w:tc>
          <w:tcPr>
            <w:tcW w:w="1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6CF0" w:rsidRDefault="00BE6CF0" w:rsidP="00484E08">
            <w:pPr>
              <w:rPr>
                <w:rFonts w:ascii="Tahoma" w:hAnsi="Tahoma" w:cs="Tahoma"/>
              </w:rPr>
            </w:pPr>
            <w:r>
              <w:rPr>
                <w:rFonts w:ascii="Tahoma" w:hAnsi="Tahoma" w:cs="Tahoma"/>
              </w:rPr>
              <w:t>Free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6CF0" w:rsidRPr="007F1101" w:rsidRDefault="00627664" w:rsidP="00D5143B">
            <w:pPr>
              <w:jc w:val="right"/>
              <w:rPr>
                <w:rFonts w:ascii="Tahoma" w:hAnsi="Tahoma" w:cs="Tahoma"/>
              </w:rPr>
            </w:pPr>
            <w:r>
              <w:rPr>
                <w:rFonts w:ascii="Tahoma" w:hAnsi="Tahoma" w:cs="Tahoma"/>
              </w:rPr>
              <w:t>£71</w:t>
            </w:r>
            <w:r w:rsidR="00BE6CF0" w:rsidRPr="007F1101">
              <w:rPr>
                <w:rFonts w:ascii="Tahoma" w:hAnsi="Tahoma" w:cs="Tahoma"/>
              </w:rPr>
              <w:t>.00</w:t>
            </w:r>
          </w:p>
        </w:tc>
      </w:tr>
      <w:tr w:rsidR="005125A9" w:rsidRPr="007F1101" w:rsidTr="00E246BA">
        <w:trPr>
          <w:trHeight w:val="255"/>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125A9" w:rsidRPr="00DB4457" w:rsidRDefault="005125A9" w:rsidP="00484E08">
            <w:pPr>
              <w:rPr>
                <w:rFonts w:ascii="Tahoma" w:hAnsi="Tahoma" w:cs="Tahoma"/>
              </w:rPr>
            </w:pPr>
            <w:r w:rsidRPr="00DB4457">
              <w:rPr>
                <w:rFonts w:ascii="Tahoma" w:hAnsi="Tahoma" w:cs="Tahoma"/>
              </w:rPr>
              <w:t>Private Accommodation (London)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125A9" w:rsidRPr="00DB4457" w:rsidRDefault="005125A9" w:rsidP="00C40071">
            <w:pPr>
              <w:jc w:val="right"/>
              <w:rPr>
                <w:rFonts w:ascii="Tahoma" w:hAnsi="Tahoma" w:cs="Tahoma"/>
              </w:rPr>
            </w:pPr>
            <w:r w:rsidRPr="00DB4457">
              <w:rPr>
                <w:rFonts w:ascii="Tahoma" w:hAnsi="Tahoma" w:cs="Tahoma"/>
              </w:rPr>
              <w:t>£1</w:t>
            </w:r>
            <w:r w:rsidR="00C40071">
              <w:rPr>
                <w:rFonts w:ascii="Tahoma" w:hAnsi="Tahoma" w:cs="Tahoma"/>
              </w:rPr>
              <w:t>79.10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125A9" w:rsidRPr="00DB4457" w:rsidRDefault="005125A9" w:rsidP="00484E08">
            <w:pPr>
              <w:jc w:val="right"/>
              <w:rPr>
                <w:rFonts w:ascii="Tahoma" w:hAnsi="Tahoma" w:cs="Tahoma"/>
              </w:rPr>
            </w:pPr>
            <w:r w:rsidRPr="00DB4457">
              <w:rPr>
                <w:rFonts w:ascii="Tahoma" w:hAnsi="Tahoma" w:cs="Tahoma"/>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125A9" w:rsidRPr="00DB4457" w:rsidRDefault="005125A9" w:rsidP="00C40071">
            <w:pPr>
              <w:jc w:val="right"/>
              <w:rPr>
                <w:rFonts w:ascii="Tahoma" w:hAnsi="Tahoma" w:cs="Tahoma"/>
              </w:rPr>
            </w:pPr>
            <w:r w:rsidRPr="00DB4457">
              <w:rPr>
                <w:rFonts w:ascii="Tahoma" w:hAnsi="Tahoma" w:cs="Tahoma"/>
              </w:rPr>
              <w:t>£</w:t>
            </w:r>
            <w:r w:rsidR="00C40071">
              <w:rPr>
                <w:rFonts w:ascii="Tahoma" w:hAnsi="Tahoma" w:cs="Tahoma"/>
              </w:rPr>
              <w:t>9</w:t>
            </w:r>
            <w:r w:rsidRPr="00DB4457">
              <w:rPr>
                <w:rFonts w:ascii="Tahoma" w:hAnsi="Tahoma" w:cs="Tahoma"/>
              </w:rPr>
              <w:t>,</w:t>
            </w:r>
            <w:r w:rsidR="00C40071">
              <w:rPr>
                <w:rFonts w:ascii="Tahoma" w:hAnsi="Tahoma" w:cs="Tahoma"/>
              </w:rPr>
              <w:t>313</w:t>
            </w:r>
            <w:r w:rsidRPr="00DB4457">
              <w:rPr>
                <w:rFonts w:ascii="Tahoma" w:hAnsi="Tahoma" w:cs="Tahoma"/>
              </w:rPr>
              <w:t>.00</w:t>
            </w:r>
          </w:p>
        </w:tc>
        <w:tc>
          <w:tcPr>
            <w:tcW w:w="9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125A9" w:rsidRPr="00DB4457" w:rsidRDefault="005125A9" w:rsidP="00C40071">
            <w:pPr>
              <w:jc w:val="right"/>
              <w:rPr>
                <w:rFonts w:ascii="Tahoma" w:hAnsi="Tahoma" w:cs="Tahoma"/>
              </w:rPr>
            </w:pPr>
            <w:r w:rsidRPr="00DB4457">
              <w:rPr>
                <w:rFonts w:ascii="Tahoma" w:hAnsi="Tahoma" w:cs="Tahoma"/>
              </w:rPr>
              <w:t>£7</w:t>
            </w:r>
            <w:r w:rsidR="00C40071">
              <w:rPr>
                <w:rFonts w:ascii="Tahoma" w:hAnsi="Tahoma" w:cs="Tahoma"/>
              </w:rPr>
              <w:t>76</w:t>
            </w:r>
          </w:p>
        </w:tc>
        <w:tc>
          <w:tcPr>
            <w:tcW w:w="1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125A9" w:rsidRDefault="005125A9" w:rsidP="00484E08">
            <w:pPr>
              <w:rPr>
                <w:rFonts w:ascii="Tahoma" w:hAnsi="Tahoma" w:cs="Tahoma"/>
              </w:rPr>
            </w:pPr>
            <w:r>
              <w:rPr>
                <w:rFonts w:ascii="Tahoma" w:hAnsi="Tahoma" w:cs="Tahoma"/>
              </w:rPr>
              <w:t>Not included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125A9" w:rsidRPr="007F1101" w:rsidRDefault="00627664" w:rsidP="00D5143B">
            <w:pPr>
              <w:jc w:val="right"/>
              <w:rPr>
                <w:rFonts w:ascii="Tahoma" w:hAnsi="Tahoma" w:cs="Tahoma"/>
              </w:rPr>
            </w:pPr>
            <w:r>
              <w:rPr>
                <w:rFonts w:ascii="Tahoma" w:hAnsi="Tahoma" w:cs="Tahoma"/>
              </w:rPr>
              <w:t>£71</w:t>
            </w:r>
            <w:r w:rsidR="005125A9" w:rsidRPr="007F1101">
              <w:rPr>
                <w:rFonts w:ascii="Tahoma" w:hAnsi="Tahoma" w:cs="Tahoma"/>
              </w:rPr>
              <w:t>.00</w:t>
            </w:r>
          </w:p>
        </w:tc>
      </w:tr>
      <w:tr w:rsidR="005125A9" w:rsidRPr="007F1101" w:rsidTr="00E246BA">
        <w:trPr>
          <w:trHeight w:val="255"/>
          <w:tblCellSpacing w:w="0" w:type="dxa"/>
        </w:trPr>
        <w:tc>
          <w:tcPr>
            <w:tcW w:w="0" w:type="auto"/>
            <w:tcMar>
              <w:top w:w="15" w:type="dxa"/>
              <w:left w:w="15" w:type="dxa"/>
              <w:bottom w:w="15" w:type="dxa"/>
              <w:right w:w="15" w:type="dxa"/>
            </w:tcMar>
            <w:vAlign w:val="center"/>
          </w:tcPr>
          <w:p w:rsidR="003D79C5" w:rsidRPr="00DB4457" w:rsidRDefault="003D79C5" w:rsidP="005125A9">
            <w:pPr>
              <w:rPr>
                <w:rFonts w:ascii="Tahoma" w:hAnsi="Tahoma" w:cs="Tahoma"/>
              </w:rPr>
            </w:pPr>
            <w:r w:rsidRPr="00DB4457">
              <w:rPr>
                <w:rFonts w:ascii="Tahoma" w:hAnsi="Tahoma" w:cs="Tahoma"/>
              </w:rPr>
              <w:t>Private (Herts)</w:t>
            </w:r>
            <w:r w:rsidR="005125A9" w:rsidRPr="00DB4457">
              <w:rPr>
                <w:rFonts w:ascii="Tahoma" w:hAnsi="Tahoma" w:cs="Tahoma"/>
              </w:rPr>
              <w:t xml:space="preserve"> - Shared Housing</w:t>
            </w:r>
          </w:p>
        </w:tc>
        <w:tc>
          <w:tcPr>
            <w:tcW w:w="0" w:type="auto"/>
            <w:tcMar>
              <w:top w:w="15" w:type="dxa"/>
              <w:left w:w="15" w:type="dxa"/>
              <w:bottom w:w="15" w:type="dxa"/>
              <w:right w:w="15" w:type="dxa"/>
            </w:tcMar>
            <w:vAlign w:val="center"/>
          </w:tcPr>
          <w:p w:rsidR="003D79C5" w:rsidRPr="00DB4457" w:rsidRDefault="003D79C5" w:rsidP="006E676C">
            <w:pPr>
              <w:jc w:val="right"/>
              <w:rPr>
                <w:rFonts w:ascii="Tahoma" w:hAnsi="Tahoma" w:cs="Tahoma"/>
              </w:rPr>
            </w:pPr>
            <w:r w:rsidRPr="00DB4457">
              <w:rPr>
                <w:rFonts w:ascii="Tahoma" w:hAnsi="Tahoma" w:cs="Tahoma"/>
              </w:rPr>
              <w:t>£10</w:t>
            </w:r>
            <w:r w:rsidR="006E676C">
              <w:rPr>
                <w:rFonts w:ascii="Tahoma" w:hAnsi="Tahoma" w:cs="Tahoma"/>
              </w:rPr>
              <w:t>4</w:t>
            </w:r>
            <w:r w:rsidRPr="00DB4457">
              <w:rPr>
                <w:rFonts w:ascii="Tahoma" w:hAnsi="Tahoma" w:cs="Tahoma"/>
              </w:rPr>
              <w:t>.</w:t>
            </w:r>
            <w:r w:rsidR="00E233B1">
              <w:rPr>
                <w:rFonts w:ascii="Tahoma" w:hAnsi="Tahoma" w:cs="Tahoma"/>
              </w:rPr>
              <w:t>5</w:t>
            </w:r>
            <w:r w:rsidRPr="00DB4457">
              <w:rPr>
                <w:rFonts w:ascii="Tahoma" w:hAnsi="Tahoma" w:cs="Tahoma"/>
              </w:rPr>
              <w:t>0</w:t>
            </w:r>
          </w:p>
        </w:tc>
        <w:tc>
          <w:tcPr>
            <w:tcW w:w="0" w:type="auto"/>
            <w:tcMar>
              <w:top w:w="15" w:type="dxa"/>
              <w:left w:w="15" w:type="dxa"/>
              <w:bottom w:w="15" w:type="dxa"/>
              <w:right w:w="15" w:type="dxa"/>
            </w:tcMar>
            <w:vAlign w:val="center"/>
          </w:tcPr>
          <w:p w:rsidR="003D79C5" w:rsidRPr="00DB4457" w:rsidRDefault="003D79C5">
            <w:pPr>
              <w:jc w:val="right"/>
              <w:rPr>
                <w:rFonts w:ascii="Tahoma" w:hAnsi="Tahoma" w:cs="Tahoma"/>
              </w:rPr>
            </w:pPr>
            <w:r w:rsidRPr="00DB4457">
              <w:rPr>
                <w:rFonts w:ascii="Tahoma" w:hAnsi="Tahoma" w:cs="Tahoma"/>
              </w:rPr>
              <w:t>52</w:t>
            </w:r>
          </w:p>
        </w:tc>
        <w:tc>
          <w:tcPr>
            <w:tcW w:w="0" w:type="auto"/>
            <w:tcMar>
              <w:top w:w="15" w:type="dxa"/>
              <w:left w:w="15" w:type="dxa"/>
              <w:bottom w:w="15" w:type="dxa"/>
              <w:right w:w="15" w:type="dxa"/>
            </w:tcMar>
            <w:vAlign w:val="center"/>
          </w:tcPr>
          <w:p w:rsidR="003D79C5" w:rsidRPr="00DB4457" w:rsidRDefault="003D79C5" w:rsidP="006E676C">
            <w:pPr>
              <w:jc w:val="right"/>
              <w:rPr>
                <w:rFonts w:ascii="Tahoma" w:hAnsi="Tahoma" w:cs="Tahoma"/>
              </w:rPr>
            </w:pPr>
            <w:r w:rsidRPr="00DB4457">
              <w:rPr>
                <w:rFonts w:ascii="Tahoma" w:hAnsi="Tahoma" w:cs="Tahoma"/>
              </w:rPr>
              <w:t>£5,</w:t>
            </w:r>
            <w:r w:rsidR="006E676C">
              <w:rPr>
                <w:rFonts w:ascii="Tahoma" w:hAnsi="Tahoma" w:cs="Tahoma"/>
              </w:rPr>
              <w:t>439</w:t>
            </w:r>
            <w:r w:rsidR="00AB10D1" w:rsidRPr="00DB4457">
              <w:rPr>
                <w:rFonts w:ascii="Tahoma" w:hAnsi="Tahoma" w:cs="Tahoma"/>
              </w:rPr>
              <w:t>.00</w:t>
            </w:r>
          </w:p>
        </w:tc>
        <w:tc>
          <w:tcPr>
            <w:tcW w:w="925" w:type="dxa"/>
            <w:tcMar>
              <w:top w:w="15" w:type="dxa"/>
              <w:left w:w="15" w:type="dxa"/>
              <w:bottom w:w="15" w:type="dxa"/>
              <w:right w:w="15" w:type="dxa"/>
            </w:tcMar>
            <w:vAlign w:val="center"/>
          </w:tcPr>
          <w:p w:rsidR="003D79C5" w:rsidRPr="00DB4457" w:rsidRDefault="008E5F96">
            <w:pPr>
              <w:jc w:val="right"/>
              <w:rPr>
                <w:rFonts w:ascii="Tahoma" w:hAnsi="Tahoma" w:cs="Tahoma"/>
              </w:rPr>
            </w:pPr>
            <w:r w:rsidRPr="00DB4457">
              <w:rPr>
                <w:rFonts w:ascii="Tahoma" w:hAnsi="Tahoma" w:cs="Tahoma"/>
              </w:rPr>
              <w:t>0.00</w:t>
            </w:r>
          </w:p>
        </w:tc>
        <w:tc>
          <w:tcPr>
            <w:tcW w:w="1118" w:type="dxa"/>
            <w:tcMar>
              <w:top w:w="15" w:type="dxa"/>
              <w:left w:w="15" w:type="dxa"/>
              <w:bottom w:w="15" w:type="dxa"/>
              <w:right w:w="15" w:type="dxa"/>
            </w:tcMar>
            <w:vAlign w:val="center"/>
          </w:tcPr>
          <w:p w:rsidR="003D79C5" w:rsidRDefault="008E5F96">
            <w:pPr>
              <w:rPr>
                <w:rFonts w:ascii="Tahoma" w:hAnsi="Tahoma" w:cs="Tahoma"/>
              </w:rPr>
            </w:pPr>
            <w:r>
              <w:rPr>
                <w:rFonts w:ascii="Tahoma" w:hAnsi="Tahoma" w:cs="Tahoma"/>
              </w:rPr>
              <w:t>Not included</w:t>
            </w:r>
          </w:p>
        </w:tc>
        <w:tc>
          <w:tcPr>
            <w:tcW w:w="0" w:type="auto"/>
            <w:tcMar>
              <w:top w:w="15" w:type="dxa"/>
              <w:left w:w="15" w:type="dxa"/>
              <w:bottom w:w="15" w:type="dxa"/>
              <w:right w:w="15" w:type="dxa"/>
            </w:tcMar>
            <w:vAlign w:val="center"/>
          </w:tcPr>
          <w:p w:rsidR="003D79C5" w:rsidRPr="007F1101" w:rsidRDefault="00627664" w:rsidP="00D5143B">
            <w:pPr>
              <w:jc w:val="right"/>
              <w:rPr>
                <w:rFonts w:ascii="Tahoma" w:hAnsi="Tahoma" w:cs="Tahoma"/>
              </w:rPr>
            </w:pPr>
            <w:r>
              <w:rPr>
                <w:rFonts w:ascii="Tahoma" w:hAnsi="Tahoma" w:cs="Tahoma"/>
              </w:rPr>
              <w:t>£71</w:t>
            </w:r>
            <w:r w:rsidR="008E5F96" w:rsidRPr="007F1101">
              <w:rPr>
                <w:rFonts w:ascii="Tahoma" w:hAnsi="Tahoma" w:cs="Tahoma"/>
              </w:rPr>
              <w:t>.00</w:t>
            </w:r>
          </w:p>
        </w:tc>
      </w:tr>
      <w:tr w:rsidR="005125A9" w:rsidRPr="007F1101" w:rsidTr="00E246BA">
        <w:trPr>
          <w:trHeight w:val="255"/>
          <w:tblCellSpacing w:w="0" w:type="dxa"/>
        </w:trPr>
        <w:tc>
          <w:tcPr>
            <w:tcW w:w="0" w:type="auto"/>
            <w:tcMar>
              <w:top w:w="15" w:type="dxa"/>
              <w:left w:w="15" w:type="dxa"/>
              <w:bottom w:w="15" w:type="dxa"/>
              <w:right w:w="15" w:type="dxa"/>
            </w:tcMar>
            <w:vAlign w:val="center"/>
          </w:tcPr>
          <w:p w:rsidR="008E5F96" w:rsidRDefault="008E5F96" w:rsidP="005125A9">
            <w:pPr>
              <w:rPr>
                <w:rFonts w:ascii="Tahoma" w:hAnsi="Tahoma" w:cs="Tahoma"/>
              </w:rPr>
            </w:pPr>
            <w:r>
              <w:rPr>
                <w:rFonts w:ascii="Tahoma" w:hAnsi="Tahoma" w:cs="Tahoma"/>
              </w:rPr>
              <w:t>Private (Herts)</w:t>
            </w:r>
            <w:r w:rsidR="005125A9">
              <w:rPr>
                <w:rFonts w:ascii="Tahoma" w:hAnsi="Tahoma" w:cs="Tahoma"/>
              </w:rPr>
              <w:t xml:space="preserve"> – living with spouse/partner</w:t>
            </w:r>
          </w:p>
        </w:tc>
        <w:tc>
          <w:tcPr>
            <w:tcW w:w="0" w:type="auto"/>
            <w:tcMar>
              <w:top w:w="15" w:type="dxa"/>
              <w:left w:w="15" w:type="dxa"/>
              <w:bottom w:w="15" w:type="dxa"/>
              <w:right w:w="15" w:type="dxa"/>
            </w:tcMar>
            <w:vAlign w:val="center"/>
          </w:tcPr>
          <w:p w:rsidR="008E5F96" w:rsidRDefault="00F25B6A" w:rsidP="006E676C">
            <w:pPr>
              <w:jc w:val="right"/>
              <w:rPr>
                <w:rFonts w:ascii="Tahoma" w:hAnsi="Tahoma" w:cs="Tahoma"/>
              </w:rPr>
            </w:pPr>
            <w:r>
              <w:rPr>
                <w:rFonts w:ascii="Tahoma" w:hAnsi="Tahoma" w:cs="Tahoma"/>
              </w:rPr>
              <w:t>£1</w:t>
            </w:r>
            <w:r w:rsidR="006E676C">
              <w:rPr>
                <w:rFonts w:ascii="Tahoma" w:hAnsi="Tahoma" w:cs="Tahoma"/>
              </w:rPr>
              <w:t>31</w:t>
            </w:r>
            <w:r>
              <w:rPr>
                <w:rFonts w:ascii="Tahoma" w:hAnsi="Tahoma" w:cs="Tahoma"/>
              </w:rPr>
              <w:t>.00</w:t>
            </w:r>
          </w:p>
        </w:tc>
        <w:tc>
          <w:tcPr>
            <w:tcW w:w="0" w:type="auto"/>
            <w:tcMar>
              <w:top w:w="15" w:type="dxa"/>
              <w:left w:w="15" w:type="dxa"/>
              <w:bottom w:w="15" w:type="dxa"/>
              <w:right w:w="15" w:type="dxa"/>
            </w:tcMar>
            <w:vAlign w:val="center"/>
          </w:tcPr>
          <w:p w:rsidR="008E5F96" w:rsidRDefault="00F25B6A">
            <w:pPr>
              <w:jc w:val="right"/>
              <w:rPr>
                <w:rFonts w:ascii="Tahoma" w:hAnsi="Tahoma" w:cs="Tahoma"/>
              </w:rPr>
            </w:pPr>
            <w:r>
              <w:rPr>
                <w:rFonts w:ascii="Tahoma" w:hAnsi="Tahoma" w:cs="Tahoma"/>
              </w:rPr>
              <w:t>52</w:t>
            </w:r>
          </w:p>
        </w:tc>
        <w:tc>
          <w:tcPr>
            <w:tcW w:w="0" w:type="auto"/>
            <w:tcMar>
              <w:top w:w="15" w:type="dxa"/>
              <w:left w:w="15" w:type="dxa"/>
              <w:bottom w:w="15" w:type="dxa"/>
              <w:right w:w="15" w:type="dxa"/>
            </w:tcMar>
            <w:vAlign w:val="center"/>
          </w:tcPr>
          <w:p w:rsidR="008E5F96" w:rsidRDefault="00F25B6A" w:rsidP="006E676C">
            <w:pPr>
              <w:jc w:val="right"/>
              <w:rPr>
                <w:rFonts w:ascii="Tahoma" w:hAnsi="Tahoma" w:cs="Tahoma"/>
              </w:rPr>
            </w:pPr>
            <w:r>
              <w:rPr>
                <w:rFonts w:ascii="Tahoma" w:hAnsi="Tahoma" w:cs="Tahoma"/>
              </w:rPr>
              <w:t>£6,</w:t>
            </w:r>
            <w:r w:rsidR="006E676C">
              <w:rPr>
                <w:rFonts w:ascii="Tahoma" w:hAnsi="Tahoma" w:cs="Tahoma"/>
              </w:rPr>
              <w:t>812</w:t>
            </w:r>
            <w:r>
              <w:rPr>
                <w:rFonts w:ascii="Tahoma" w:hAnsi="Tahoma" w:cs="Tahoma"/>
              </w:rPr>
              <w:t>.00</w:t>
            </w:r>
          </w:p>
        </w:tc>
        <w:tc>
          <w:tcPr>
            <w:tcW w:w="925" w:type="dxa"/>
            <w:tcMar>
              <w:top w:w="15" w:type="dxa"/>
              <w:left w:w="15" w:type="dxa"/>
              <w:bottom w:w="15" w:type="dxa"/>
              <w:right w:w="15" w:type="dxa"/>
            </w:tcMar>
            <w:vAlign w:val="center"/>
          </w:tcPr>
          <w:p w:rsidR="008E5F96" w:rsidRDefault="00F25B6A">
            <w:pPr>
              <w:jc w:val="right"/>
              <w:rPr>
                <w:rFonts w:ascii="Tahoma" w:hAnsi="Tahoma" w:cs="Tahoma"/>
              </w:rPr>
            </w:pPr>
            <w:r>
              <w:rPr>
                <w:rFonts w:ascii="Tahoma" w:hAnsi="Tahoma" w:cs="Tahoma"/>
              </w:rPr>
              <w:t>0.00</w:t>
            </w:r>
          </w:p>
        </w:tc>
        <w:tc>
          <w:tcPr>
            <w:tcW w:w="1118" w:type="dxa"/>
            <w:tcMar>
              <w:top w:w="15" w:type="dxa"/>
              <w:left w:w="15" w:type="dxa"/>
              <w:bottom w:w="15" w:type="dxa"/>
              <w:right w:w="15" w:type="dxa"/>
            </w:tcMar>
            <w:vAlign w:val="center"/>
          </w:tcPr>
          <w:p w:rsidR="008E5F96" w:rsidRDefault="00F25B6A">
            <w:pPr>
              <w:rPr>
                <w:rFonts w:ascii="Tahoma" w:hAnsi="Tahoma" w:cs="Tahoma"/>
              </w:rPr>
            </w:pPr>
            <w:r>
              <w:rPr>
                <w:rFonts w:ascii="Tahoma" w:hAnsi="Tahoma" w:cs="Tahoma"/>
              </w:rPr>
              <w:t>Not included</w:t>
            </w:r>
          </w:p>
        </w:tc>
        <w:tc>
          <w:tcPr>
            <w:tcW w:w="0" w:type="auto"/>
            <w:tcMar>
              <w:top w:w="15" w:type="dxa"/>
              <w:left w:w="15" w:type="dxa"/>
              <w:bottom w:w="15" w:type="dxa"/>
              <w:right w:w="15" w:type="dxa"/>
            </w:tcMar>
            <w:vAlign w:val="center"/>
          </w:tcPr>
          <w:p w:rsidR="008E5F96" w:rsidRPr="007F1101" w:rsidRDefault="00627664" w:rsidP="00D5143B">
            <w:pPr>
              <w:jc w:val="right"/>
              <w:rPr>
                <w:rFonts w:ascii="Tahoma" w:hAnsi="Tahoma" w:cs="Tahoma"/>
              </w:rPr>
            </w:pPr>
            <w:r>
              <w:rPr>
                <w:rFonts w:ascii="Tahoma" w:hAnsi="Tahoma" w:cs="Tahoma"/>
              </w:rPr>
              <w:t>£71</w:t>
            </w:r>
            <w:r w:rsidR="00F25B6A" w:rsidRPr="007F1101">
              <w:rPr>
                <w:rFonts w:ascii="Tahoma" w:hAnsi="Tahoma" w:cs="Tahoma"/>
              </w:rPr>
              <w:t>.00</w:t>
            </w:r>
          </w:p>
        </w:tc>
      </w:tr>
    </w:tbl>
    <w:p w:rsidR="008E5F96" w:rsidRDefault="007F1101" w:rsidP="007F1101">
      <w:pPr>
        <w:pStyle w:val="NormalWeb"/>
        <w:rPr>
          <w:rFonts w:ascii="Tahoma" w:hAnsi="Tahoma" w:cs="Tahoma"/>
          <w:sz w:val="20"/>
          <w:szCs w:val="20"/>
          <w:lang w:val="en-US"/>
        </w:rPr>
      </w:pPr>
      <w:r w:rsidRPr="007F1101">
        <w:rPr>
          <w:rFonts w:ascii="Tahoma" w:hAnsi="Tahoma" w:cs="Tahoma"/>
          <w:color w:val="000000"/>
          <w:sz w:val="20"/>
          <w:szCs w:val="20"/>
          <w:lang w:val="en-US"/>
        </w:rPr>
        <w:t> </w:t>
      </w:r>
    </w:p>
    <w:p w:rsidR="001710C5" w:rsidRDefault="001710C5" w:rsidP="007F1101">
      <w:pPr>
        <w:pStyle w:val="NormalWeb"/>
        <w:rPr>
          <w:rFonts w:ascii="Tahoma" w:hAnsi="Tahoma" w:cs="Tahoma"/>
          <w:b/>
          <w:sz w:val="20"/>
          <w:szCs w:val="20"/>
          <w:lang w:val="en-US"/>
        </w:rPr>
      </w:pPr>
    </w:p>
    <w:p w:rsidR="001710C5" w:rsidRDefault="001710C5" w:rsidP="007F1101">
      <w:pPr>
        <w:pStyle w:val="NormalWeb"/>
        <w:rPr>
          <w:rFonts w:ascii="Tahoma" w:hAnsi="Tahoma" w:cs="Tahoma"/>
          <w:b/>
          <w:sz w:val="20"/>
          <w:szCs w:val="20"/>
          <w:lang w:val="en-US"/>
        </w:rPr>
      </w:pPr>
    </w:p>
    <w:p w:rsidR="008E5F96" w:rsidRPr="00B76510" w:rsidRDefault="00B76510" w:rsidP="007F1101">
      <w:pPr>
        <w:pStyle w:val="NormalWeb"/>
        <w:rPr>
          <w:rFonts w:ascii="Tahoma" w:hAnsi="Tahoma" w:cs="Tahoma"/>
          <w:b/>
          <w:sz w:val="20"/>
          <w:szCs w:val="20"/>
          <w:lang w:val="en-US"/>
        </w:rPr>
      </w:pPr>
      <w:r w:rsidRPr="00B76510">
        <w:rPr>
          <w:rFonts w:ascii="Tahoma" w:hAnsi="Tahoma" w:cs="Tahoma"/>
          <w:b/>
          <w:sz w:val="20"/>
          <w:szCs w:val="20"/>
          <w:lang w:val="en-US"/>
        </w:rPr>
        <w:t>Students in Halls</w:t>
      </w:r>
    </w:p>
    <w:p w:rsidR="00B76510" w:rsidRDefault="00B76510" w:rsidP="007F1101">
      <w:pPr>
        <w:pStyle w:val="NormalWeb"/>
        <w:rPr>
          <w:rFonts w:ascii="Tahoma" w:hAnsi="Tahoma" w:cs="Tahoma"/>
          <w:sz w:val="20"/>
          <w:szCs w:val="20"/>
          <w:lang w:val="en-US"/>
        </w:rPr>
      </w:pPr>
    </w:p>
    <w:p w:rsidR="003D79C5" w:rsidRPr="008E5F96" w:rsidRDefault="003D79C5" w:rsidP="007F1101">
      <w:pPr>
        <w:pStyle w:val="NormalWeb"/>
        <w:rPr>
          <w:rFonts w:ascii="Tahoma" w:hAnsi="Tahoma" w:cs="Tahoma"/>
          <w:sz w:val="20"/>
          <w:szCs w:val="20"/>
          <w:lang w:val="en-US"/>
        </w:rPr>
      </w:pPr>
      <w:r w:rsidRPr="003A7E55">
        <w:rPr>
          <w:rFonts w:ascii="Tahoma" w:hAnsi="Tahoma" w:cs="Tahoma"/>
          <w:b/>
          <w:i/>
          <w:sz w:val="20"/>
          <w:szCs w:val="20"/>
          <w:lang w:val="en-US"/>
        </w:rPr>
        <w:t>Students are expected to live in halls of residence or shared housing, the typical student experience in the UK.</w:t>
      </w:r>
      <w:r w:rsidRPr="008E5F96">
        <w:rPr>
          <w:rFonts w:ascii="Tahoma" w:hAnsi="Tahoma" w:cs="Tahoma"/>
          <w:sz w:val="20"/>
          <w:szCs w:val="20"/>
          <w:lang w:val="en-US"/>
        </w:rPr>
        <w:t xml:space="preserve"> We recognise that as mature students you may wish to live with your spouse or partner, and shared accommodation would not be suitable. Such suitable accommodation, such as a studio or one bedroom flat is more expensive and our allowance for such students reflects that</w:t>
      </w:r>
      <w:r w:rsidR="00B76510">
        <w:rPr>
          <w:rFonts w:ascii="Tahoma" w:hAnsi="Tahoma" w:cs="Tahoma"/>
          <w:sz w:val="20"/>
          <w:szCs w:val="20"/>
          <w:lang w:val="en-US"/>
        </w:rPr>
        <w:t xml:space="preserve"> (see Coupled Students)</w:t>
      </w:r>
      <w:r w:rsidRPr="008E5F96">
        <w:rPr>
          <w:rFonts w:ascii="Tahoma" w:hAnsi="Tahoma" w:cs="Tahoma"/>
          <w:sz w:val="20"/>
          <w:szCs w:val="20"/>
          <w:lang w:val="en-US"/>
        </w:rPr>
        <w:t>. It should also enable to afford a two bedroom flat situated further away from the college. Please note, that your loan cannot be used to support your spouse/partner so your accommodation costs should be split 50/50.</w:t>
      </w:r>
    </w:p>
    <w:p w:rsidR="008E5F96" w:rsidRPr="008E5F96" w:rsidRDefault="008E5F96" w:rsidP="007F1101">
      <w:pPr>
        <w:pStyle w:val="NormalWeb"/>
        <w:rPr>
          <w:rFonts w:ascii="Tahoma" w:hAnsi="Tahoma" w:cs="Tahoma"/>
          <w:sz w:val="20"/>
          <w:szCs w:val="20"/>
          <w:lang w:val="en-US"/>
        </w:rPr>
      </w:pPr>
    </w:p>
    <w:p w:rsidR="008E5F96" w:rsidRPr="008E5F96" w:rsidRDefault="008E5F96" w:rsidP="007F1101">
      <w:pPr>
        <w:pStyle w:val="NormalWeb"/>
        <w:rPr>
          <w:rFonts w:ascii="Tahoma" w:hAnsi="Tahoma" w:cs="Tahoma"/>
          <w:sz w:val="20"/>
          <w:szCs w:val="20"/>
          <w:lang w:val="en-US"/>
        </w:rPr>
      </w:pPr>
      <w:r w:rsidRPr="008E5F96">
        <w:rPr>
          <w:rFonts w:ascii="Tahoma" w:hAnsi="Tahoma" w:cs="Tahoma"/>
          <w:sz w:val="20"/>
          <w:szCs w:val="20"/>
          <w:lang w:val="en-US"/>
        </w:rPr>
        <w:t>Deposits are included in the cost of Halls. It is assumed that these deposits will be returned and used to secure accommodation in future years. Students moving out of Mary Brancker into private accommodation or the Student Village can claim an extra £250 towards their deposit.</w:t>
      </w:r>
    </w:p>
    <w:p w:rsidR="003D79C5" w:rsidRPr="008E5F96" w:rsidRDefault="003D79C5" w:rsidP="007F1101">
      <w:pPr>
        <w:pStyle w:val="NormalWeb"/>
        <w:rPr>
          <w:rFonts w:ascii="Tahoma" w:hAnsi="Tahoma" w:cs="Tahoma"/>
          <w:sz w:val="20"/>
          <w:szCs w:val="20"/>
          <w:lang w:val="en-US"/>
        </w:rPr>
      </w:pPr>
    </w:p>
    <w:p w:rsidR="008B3276" w:rsidRPr="008E5F96" w:rsidRDefault="007F1101" w:rsidP="007F1101">
      <w:pPr>
        <w:pStyle w:val="NormalWeb"/>
        <w:rPr>
          <w:rFonts w:ascii="Tahoma" w:hAnsi="Tahoma" w:cs="Tahoma"/>
          <w:sz w:val="20"/>
          <w:szCs w:val="20"/>
          <w:lang w:val="en-US"/>
        </w:rPr>
      </w:pPr>
      <w:r w:rsidRPr="008E5F96">
        <w:rPr>
          <w:rFonts w:ascii="Tahoma" w:hAnsi="Tahoma" w:cs="Tahoma"/>
          <w:sz w:val="20"/>
          <w:szCs w:val="20"/>
          <w:lang w:val="en-US"/>
        </w:rPr>
        <w:lastRenderedPageBreak/>
        <w:t>Total charges for College Grove are £</w:t>
      </w:r>
      <w:r w:rsidR="00540E58">
        <w:rPr>
          <w:rFonts w:ascii="Tahoma" w:hAnsi="Tahoma" w:cs="Tahoma"/>
          <w:sz w:val="20"/>
          <w:szCs w:val="20"/>
          <w:lang w:val="en-US"/>
        </w:rPr>
        <w:t>8,</w:t>
      </w:r>
      <w:r w:rsidR="003A7E55">
        <w:rPr>
          <w:rFonts w:ascii="Tahoma" w:hAnsi="Tahoma" w:cs="Tahoma"/>
          <w:sz w:val="20"/>
          <w:szCs w:val="20"/>
          <w:lang w:val="en-US"/>
        </w:rPr>
        <w:t>676</w:t>
      </w:r>
      <w:r w:rsidR="00755155">
        <w:rPr>
          <w:rFonts w:ascii="Tahoma" w:hAnsi="Tahoma" w:cs="Tahoma"/>
          <w:sz w:val="20"/>
          <w:szCs w:val="20"/>
          <w:lang w:val="en-US"/>
        </w:rPr>
        <w:t xml:space="preserve"> </w:t>
      </w:r>
      <w:r w:rsidRPr="008E5F96">
        <w:rPr>
          <w:rFonts w:ascii="Tahoma" w:hAnsi="Tahoma" w:cs="Tahoma"/>
          <w:sz w:val="20"/>
          <w:szCs w:val="20"/>
          <w:lang w:val="en-US"/>
        </w:rPr>
        <w:t>including a returnable deposit of £</w:t>
      </w:r>
      <w:r w:rsidR="003A7E55">
        <w:rPr>
          <w:rFonts w:ascii="Tahoma" w:hAnsi="Tahoma" w:cs="Tahoma"/>
          <w:sz w:val="20"/>
          <w:szCs w:val="20"/>
          <w:lang w:val="en-US"/>
        </w:rPr>
        <w:t>30</w:t>
      </w:r>
      <w:r w:rsidR="00540E58">
        <w:rPr>
          <w:rFonts w:ascii="Tahoma" w:hAnsi="Tahoma" w:cs="Tahoma"/>
          <w:sz w:val="20"/>
          <w:szCs w:val="20"/>
          <w:lang w:val="en-US"/>
        </w:rPr>
        <w:t>0</w:t>
      </w:r>
      <w:r w:rsidRPr="008E5F96">
        <w:rPr>
          <w:rFonts w:ascii="Tahoma" w:hAnsi="Tahoma" w:cs="Tahoma"/>
          <w:sz w:val="20"/>
          <w:szCs w:val="20"/>
          <w:lang w:val="en-US"/>
        </w:rPr>
        <w:t xml:space="preserve"> in </w:t>
      </w:r>
      <w:r w:rsidR="003A7E55">
        <w:rPr>
          <w:rFonts w:ascii="Tahoma" w:hAnsi="Tahoma" w:cs="Tahoma"/>
          <w:sz w:val="20"/>
          <w:szCs w:val="20"/>
          <w:lang w:val="en-US"/>
        </w:rPr>
        <w:t>2019/0.</w:t>
      </w:r>
      <w:r w:rsidRPr="008E5F96">
        <w:rPr>
          <w:rFonts w:ascii="Tahoma" w:hAnsi="Tahoma" w:cs="Tahoma"/>
          <w:sz w:val="20"/>
          <w:szCs w:val="20"/>
          <w:lang w:val="en-US"/>
        </w:rPr>
        <w:t xml:space="preserve"> Total c</w:t>
      </w:r>
      <w:r w:rsidR="00755155">
        <w:rPr>
          <w:rFonts w:ascii="Tahoma" w:hAnsi="Tahoma" w:cs="Tahoma"/>
          <w:sz w:val="20"/>
          <w:szCs w:val="20"/>
          <w:lang w:val="en-US"/>
        </w:rPr>
        <w:t>h</w:t>
      </w:r>
      <w:r w:rsidR="00BE6CF0">
        <w:rPr>
          <w:rFonts w:ascii="Tahoma" w:hAnsi="Tahoma" w:cs="Tahoma"/>
          <w:sz w:val="20"/>
          <w:szCs w:val="20"/>
          <w:lang w:val="en-US"/>
        </w:rPr>
        <w:t>arges for</w:t>
      </w:r>
      <w:r w:rsidR="00C02D4F">
        <w:rPr>
          <w:rFonts w:ascii="Tahoma" w:hAnsi="Tahoma" w:cs="Tahoma"/>
          <w:sz w:val="20"/>
          <w:szCs w:val="20"/>
          <w:lang w:val="en-US"/>
        </w:rPr>
        <w:t xml:space="preserve"> Mary Brancker are £</w:t>
      </w:r>
      <w:r w:rsidR="003A7E55">
        <w:rPr>
          <w:rFonts w:ascii="Tahoma" w:hAnsi="Tahoma" w:cs="Tahoma"/>
          <w:sz w:val="20"/>
          <w:szCs w:val="20"/>
          <w:lang w:val="en-US"/>
        </w:rPr>
        <w:t xml:space="preserve">10,653 </w:t>
      </w:r>
      <w:r w:rsidRPr="008E5F96">
        <w:rPr>
          <w:rFonts w:ascii="Tahoma" w:hAnsi="Tahoma" w:cs="Tahoma"/>
          <w:sz w:val="20"/>
          <w:szCs w:val="20"/>
          <w:lang w:val="en-US"/>
        </w:rPr>
        <w:t xml:space="preserve">including a returnable deposit of £250 in </w:t>
      </w:r>
      <w:r w:rsidR="003A7E55">
        <w:rPr>
          <w:rFonts w:ascii="Tahoma" w:hAnsi="Tahoma" w:cs="Tahoma"/>
          <w:sz w:val="20"/>
          <w:szCs w:val="20"/>
          <w:lang w:val="en-US"/>
        </w:rPr>
        <w:t>2019/0</w:t>
      </w:r>
      <w:r w:rsidRPr="008E5F96">
        <w:rPr>
          <w:rFonts w:ascii="Tahoma" w:hAnsi="Tahoma" w:cs="Tahoma"/>
          <w:sz w:val="20"/>
          <w:szCs w:val="20"/>
          <w:lang w:val="en-US"/>
        </w:rPr>
        <w:t xml:space="preserve">. </w:t>
      </w:r>
      <w:r w:rsidR="008B3276" w:rsidRPr="00B301B2">
        <w:rPr>
          <w:rFonts w:ascii="Tahoma" w:hAnsi="Tahoma" w:cs="Tahoma"/>
          <w:sz w:val="20"/>
          <w:szCs w:val="20"/>
          <w:lang w:val="en-US"/>
        </w:rPr>
        <w:t xml:space="preserve">The allowance for </w:t>
      </w:r>
      <w:r w:rsidR="003A7E55" w:rsidRPr="00B301B2">
        <w:rPr>
          <w:rFonts w:ascii="Tahoma" w:hAnsi="Tahoma" w:cs="Tahoma"/>
          <w:sz w:val="20"/>
          <w:szCs w:val="20"/>
          <w:lang w:val="en-US"/>
        </w:rPr>
        <w:t>Mannequin House</w:t>
      </w:r>
      <w:r w:rsidR="008B3276" w:rsidRPr="00B301B2">
        <w:rPr>
          <w:rFonts w:ascii="Tahoma" w:hAnsi="Tahoma" w:cs="Tahoma"/>
          <w:sz w:val="20"/>
          <w:szCs w:val="20"/>
          <w:lang w:val="en-US"/>
        </w:rPr>
        <w:t xml:space="preserve"> is £</w:t>
      </w:r>
      <w:r w:rsidR="00B301B2" w:rsidRPr="00B301B2">
        <w:rPr>
          <w:rFonts w:ascii="Tahoma" w:hAnsi="Tahoma" w:cs="Tahoma"/>
          <w:sz w:val="20"/>
          <w:szCs w:val="20"/>
          <w:lang w:val="en-US"/>
        </w:rPr>
        <w:t>9,205</w:t>
      </w:r>
      <w:r w:rsidR="00540E58" w:rsidRPr="00B301B2">
        <w:rPr>
          <w:rFonts w:ascii="Tahoma" w:hAnsi="Tahoma" w:cs="Tahoma"/>
          <w:sz w:val="20"/>
          <w:szCs w:val="20"/>
          <w:lang w:val="en-US"/>
        </w:rPr>
        <w:t xml:space="preserve"> (</w:t>
      </w:r>
      <w:r w:rsidR="006E676C" w:rsidRPr="00B301B2">
        <w:rPr>
          <w:rFonts w:ascii="Tahoma" w:hAnsi="Tahoma" w:cs="Tahoma"/>
          <w:sz w:val="20"/>
          <w:szCs w:val="20"/>
          <w:lang w:val="en-US"/>
        </w:rPr>
        <w:t>inclu</w:t>
      </w:r>
      <w:r w:rsidR="00540E58" w:rsidRPr="00B301B2">
        <w:rPr>
          <w:rFonts w:ascii="Tahoma" w:hAnsi="Tahoma" w:cs="Tahoma"/>
          <w:sz w:val="20"/>
          <w:szCs w:val="20"/>
          <w:lang w:val="en-US"/>
        </w:rPr>
        <w:t>ding deposit</w:t>
      </w:r>
      <w:r w:rsidR="00B301B2" w:rsidRPr="00B301B2">
        <w:rPr>
          <w:rFonts w:ascii="Tahoma" w:hAnsi="Tahoma" w:cs="Tahoma"/>
          <w:sz w:val="20"/>
          <w:szCs w:val="20"/>
          <w:lang w:val="en-US"/>
        </w:rPr>
        <w:t xml:space="preserve"> of £250</w:t>
      </w:r>
      <w:r w:rsidR="00540E58" w:rsidRPr="00B301B2">
        <w:rPr>
          <w:rFonts w:ascii="Tahoma" w:hAnsi="Tahoma" w:cs="Tahoma"/>
          <w:sz w:val="20"/>
          <w:szCs w:val="20"/>
          <w:lang w:val="en-US"/>
        </w:rPr>
        <w:t>)</w:t>
      </w:r>
      <w:r w:rsidR="003A7E55" w:rsidRPr="00B301B2">
        <w:rPr>
          <w:rFonts w:ascii="Tahoma" w:hAnsi="Tahoma" w:cs="Tahoma"/>
          <w:sz w:val="20"/>
          <w:szCs w:val="20"/>
          <w:lang w:val="en-US"/>
        </w:rPr>
        <w:t xml:space="preserve"> in 2019/0.</w:t>
      </w:r>
    </w:p>
    <w:p w:rsidR="007F1101" w:rsidRPr="008E5F96" w:rsidRDefault="007F1101" w:rsidP="007F1101">
      <w:pPr>
        <w:pStyle w:val="NormalWeb"/>
        <w:rPr>
          <w:rFonts w:ascii="Tahoma" w:hAnsi="Tahoma" w:cs="Tahoma"/>
          <w:sz w:val="20"/>
          <w:szCs w:val="20"/>
          <w:lang w:val="en-US"/>
        </w:rPr>
      </w:pPr>
      <w:r w:rsidRPr="008E5F96">
        <w:rPr>
          <w:rFonts w:ascii="Tahoma" w:hAnsi="Tahoma" w:cs="Tahoma"/>
          <w:sz w:val="20"/>
          <w:szCs w:val="20"/>
          <w:lang w:val="en-US"/>
        </w:rPr>
        <w:t> </w:t>
      </w:r>
    </w:p>
    <w:p w:rsidR="00145B24" w:rsidRPr="008E5F96" w:rsidRDefault="00145B24" w:rsidP="00145B24">
      <w:pPr>
        <w:pStyle w:val="NormalWeb"/>
        <w:rPr>
          <w:rFonts w:ascii="Tahoma" w:hAnsi="Tahoma" w:cs="Tahoma"/>
          <w:sz w:val="20"/>
          <w:szCs w:val="20"/>
          <w:lang w:val="en-US"/>
        </w:rPr>
      </w:pPr>
      <w:r w:rsidRPr="008E5F96">
        <w:rPr>
          <w:rFonts w:ascii="Tahoma" w:hAnsi="Tahoma" w:cs="Tahoma"/>
          <w:sz w:val="20"/>
          <w:szCs w:val="20"/>
          <w:lang w:val="en-US"/>
        </w:rPr>
        <w:t xml:space="preserve">The allowance for RVC Halls (Herts) is based upon charges for </w:t>
      </w:r>
      <w:r w:rsidR="00F77ABF" w:rsidRPr="008E5F96">
        <w:rPr>
          <w:rFonts w:ascii="Tahoma" w:hAnsi="Tahoma" w:cs="Tahoma"/>
          <w:sz w:val="20"/>
          <w:szCs w:val="20"/>
          <w:lang w:val="en-US"/>
        </w:rPr>
        <w:t xml:space="preserve">the Student Village (College Close </w:t>
      </w:r>
      <w:r w:rsidR="00BE6CF0">
        <w:rPr>
          <w:rFonts w:ascii="Tahoma" w:hAnsi="Tahoma" w:cs="Tahoma"/>
          <w:sz w:val="20"/>
          <w:szCs w:val="20"/>
          <w:lang w:val="en-US"/>
        </w:rPr>
        <w:t>is</w:t>
      </w:r>
      <w:r w:rsidR="007E1587" w:rsidRPr="008E5F96">
        <w:rPr>
          <w:rFonts w:ascii="Tahoma" w:hAnsi="Tahoma" w:cs="Tahoma"/>
          <w:sz w:val="20"/>
          <w:szCs w:val="20"/>
          <w:lang w:val="en-US"/>
        </w:rPr>
        <w:t xml:space="preserve"> the same rate but </w:t>
      </w:r>
      <w:r w:rsidR="00BE6CF0">
        <w:rPr>
          <w:rFonts w:ascii="Tahoma" w:hAnsi="Tahoma" w:cs="Tahoma"/>
          <w:sz w:val="20"/>
          <w:szCs w:val="20"/>
          <w:lang w:val="en-US"/>
        </w:rPr>
        <w:t>cheaper deposit, and a flexible contract</w:t>
      </w:r>
      <w:r w:rsidR="00F77ABF" w:rsidRPr="008E5F96">
        <w:rPr>
          <w:rFonts w:ascii="Tahoma" w:hAnsi="Tahoma" w:cs="Tahoma"/>
          <w:sz w:val="20"/>
          <w:szCs w:val="20"/>
          <w:lang w:val="en-US"/>
        </w:rPr>
        <w:t>).</w:t>
      </w:r>
      <w:r w:rsidRPr="008E5F96">
        <w:rPr>
          <w:rFonts w:ascii="Tahoma" w:hAnsi="Tahoma" w:cs="Tahoma"/>
          <w:sz w:val="20"/>
          <w:szCs w:val="20"/>
          <w:lang w:val="en-US"/>
        </w:rPr>
        <w:t xml:space="preserve"> Total charges for </w:t>
      </w:r>
      <w:r w:rsidR="007E1587" w:rsidRPr="008E5F96">
        <w:rPr>
          <w:rFonts w:ascii="Tahoma" w:hAnsi="Tahoma" w:cs="Tahoma"/>
          <w:sz w:val="20"/>
          <w:szCs w:val="20"/>
          <w:lang w:val="en-US"/>
        </w:rPr>
        <w:t xml:space="preserve">Student Village </w:t>
      </w:r>
      <w:r w:rsidRPr="008E5F96">
        <w:rPr>
          <w:rFonts w:ascii="Tahoma" w:hAnsi="Tahoma" w:cs="Tahoma"/>
          <w:sz w:val="20"/>
          <w:szCs w:val="20"/>
          <w:lang w:val="en-US"/>
        </w:rPr>
        <w:t>are £</w:t>
      </w:r>
      <w:r w:rsidR="006E676C">
        <w:rPr>
          <w:rFonts w:ascii="Tahoma" w:hAnsi="Tahoma" w:cs="Tahoma"/>
          <w:sz w:val="20"/>
          <w:szCs w:val="20"/>
          <w:lang w:val="en-US"/>
        </w:rPr>
        <w:t>5,935</w:t>
      </w:r>
      <w:r w:rsidRPr="008E5F96">
        <w:rPr>
          <w:rFonts w:ascii="Tahoma" w:hAnsi="Tahoma" w:cs="Tahoma"/>
          <w:sz w:val="20"/>
          <w:szCs w:val="20"/>
          <w:lang w:val="en-US"/>
        </w:rPr>
        <w:t xml:space="preserve"> incl</w:t>
      </w:r>
      <w:r w:rsidR="00F77ABF" w:rsidRPr="008E5F96">
        <w:rPr>
          <w:rFonts w:ascii="Tahoma" w:hAnsi="Tahoma" w:cs="Tahoma"/>
          <w:sz w:val="20"/>
          <w:szCs w:val="20"/>
          <w:lang w:val="en-US"/>
        </w:rPr>
        <w:t>uding a returnable deposit of £</w:t>
      </w:r>
      <w:r w:rsidR="006E676C">
        <w:rPr>
          <w:rFonts w:ascii="Tahoma" w:hAnsi="Tahoma" w:cs="Tahoma"/>
          <w:sz w:val="20"/>
          <w:szCs w:val="20"/>
          <w:lang w:val="en-US"/>
        </w:rPr>
        <w:t>30</w:t>
      </w:r>
      <w:r w:rsidR="00D5143B">
        <w:rPr>
          <w:rFonts w:ascii="Tahoma" w:hAnsi="Tahoma" w:cs="Tahoma"/>
          <w:sz w:val="20"/>
          <w:szCs w:val="20"/>
          <w:lang w:val="en-US"/>
        </w:rPr>
        <w:t>0</w:t>
      </w:r>
      <w:r w:rsidR="007C5744">
        <w:rPr>
          <w:rFonts w:ascii="Tahoma" w:hAnsi="Tahoma" w:cs="Tahoma"/>
          <w:sz w:val="20"/>
          <w:szCs w:val="20"/>
          <w:lang w:val="en-US"/>
        </w:rPr>
        <w:t xml:space="preserve"> in </w:t>
      </w:r>
      <w:r w:rsidR="006E676C">
        <w:rPr>
          <w:rFonts w:ascii="Tahoma" w:hAnsi="Tahoma" w:cs="Tahoma"/>
          <w:sz w:val="20"/>
          <w:szCs w:val="20"/>
          <w:lang w:val="en-US"/>
        </w:rPr>
        <w:t>2017/8</w:t>
      </w:r>
      <w:r w:rsidRPr="008E5F96">
        <w:rPr>
          <w:rFonts w:ascii="Tahoma" w:hAnsi="Tahoma" w:cs="Tahoma"/>
          <w:sz w:val="20"/>
          <w:szCs w:val="20"/>
          <w:lang w:val="en-US"/>
        </w:rPr>
        <w:t xml:space="preserve">. </w:t>
      </w:r>
    </w:p>
    <w:p w:rsidR="00145B24" w:rsidRPr="008E5F96" w:rsidRDefault="00145B24" w:rsidP="007F1101">
      <w:pPr>
        <w:pStyle w:val="NormalWeb"/>
        <w:rPr>
          <w:rFonts w:ascii="Tahoma" w:hAnsi="Tahoma" w:cs="Tahoma"/>
          <w:sz w:val="20"/>
          <w:szCs w:val="20"/>
          <w:lang w:val="en-US"/>
        </w:rPr>
      </w:pPr>
    </w:p>
    <w:p w:rsidR="007F1101" w:rsidRDefault="007F1101" w:rsidP="007F1101">
      <w:pPr>
        <w:pStyle w:val="NormalWeb"/>
        <w:rPr>
          <w:rFonts w:ascii="Tahoma" w:hAnsi="Tahoma" w:cs="Tahoma"/>
          <w:sz w:val="20"/>
          <w:szCs w:val="20"/>
          <w:lang w:val="en-US"/>
        </w:rPr>
      </w:pPr>
      <w:r w:rsidRPr="008E5F96">
        <w:rPr>
          <w:rFonts w:ascii="Tahoma" w:hAnsi="Tahoma" w:cs="Tahoma"/>
          <w:sz w:val="20"/>
          <w:szCs w:val="20"/>
          <w:lang w:val="en-US"/>
        </w:rPr>
        <w:t xml:space="preserve">Intercollegiate Halls have variable pricing, but </w:t>
      </w:r>
      <w:r w:rsidR="008B3276">
        <w:rPr>
          <w:rFonts w:ascii="Tahoma" w:hAnsi="Tahoma" w:cs="Tahoma"/>
          <w:sz w:val="20"/>
          <w:szCs w:val="20"/>
          <w:lang w:val="en-US"/>
        </w:rPr>
        <w:t>is based on the most expensive, College Hall, which</w:t>
      </w:r>
      <w:r w:rsidRPr="008E5F96">
        <w:rPr>
          <w:rFonts w:ascii="Tahoma" w:hAnsi="Tahoma" w:cs="Tahoma"/>
          <w:sz w:val="20"/>
          <w:szCs w:val="20"/>
          <w:lang w:val="en-US"/>
        </w:rPr>
        <w:t xml:space="preserve"> in </w:t>
      </w:r>
      <w:r w:rsidR="003A7E55">
        <w:rPr>
          <w:rFonts w:ascii="Tahoma" w:hAnsi="Tahoma" w:cs="Tahoma"/>
          <w:sz w:val="20"/>
          <w:szCs w:val="20"/>
          <w:lang w:val="en-US"/>
        </w:rPr>
        <w:t>2019/0</w:t>
      </w:r>
      <w:r w:rsidRPr="008E5F96">
        <w:rPr>
          <w:rFonts w:ascii="Tahoma" w:hAnsi="Tahoma" w:cs="Tahoma"/>
          <w:sz w:val="20"/>
          <w:szCs w:val="20"/>
          <w:lang w:val="en-US"/>
        </w:rPr>
        <w:t xml:space="preserve"> is £</w:t>
      </w:r>
      <w:r w:rsidR="003A7E55">
        <w:rPr>
          <w:rFonts w:ascii="Tahoma" w:hAnsi="Tahoma" w:cs="Tahoma"/>
          <w:sz w:val="20"/>
          <w:szCs w:val="20"/>
          <w:lang w:val="en-US"/>
        </w:rPr>
        <w:t>12,952</w:t>
      </w:r>
      <w:r w:rsidRPr="008E5F96">
        <w:rPr>
          <w:rFonts w:ascii="Tahoma" w:hAnsi="Tahoma" w:cs="Tahoma"/>
          <w:sz w:val="20"/>
          <w:szCs w:val="20"/>
          <w:lang w:val="en-US"/>
        </w:rPr>
        <w:t xml:space="preserve"> including a</w:t>
      </w:r>
      <w:r w:rsidR="008B3276">
        <w:rPr>
          <w:rFonts w:ascii="Tahoma" w:hAnsi="Tahoma" w:cs="Tahoma"/>
          <w:sz w:val="20"/>
          <w:szCs w:val="20"/>
          <w:lang w:val="en-US"/>
        </w:rPr>
        <w:t>n estimated</w:t>
      </w:r>
      <w:r w:rsidRPr="008E5F96">
        <w:rPr>
          <w:rFonts w:ascii="Tahoma" w:hAnsi="Tahoma" w:cs="Tahoma"/>
          <w:sz w:val="20"/>
          <w:szCs w:val="20"/>
          <w:lang w:val="en-US"/>
        </w:rPr>
        <w:t xml:space="preserve"> deposit of £525. </w:t>
      </w:r>
      <w:r w:rsidR="008B3276">
        <w:rPr>
          <w:rFonts w:ascii="Tahoma" w:hAnsi="Tahoma" w:cs="Tahoma"/>
          <w:sz w:val="20"/>
          <w:szCs w:val="20"/>
          <w:lang w:val="en-US"/>
        </w:rPr>
        <w:t>This is assuming 48 weeks (as these halls are intended for 1</w:t>
      </w:r>
      <w:r w:rsidR="008B3276" w:rsidRPr="008B3276">
        <w:rPr>
          <w:rFonts w:ascii="Tahoma" w:hAnsi="Tahoma" w:cs="Tahoma"/>
          <w:sz w:val="20"/>
          <w:szCs w:val="20"/>
          <w:vertAlign w:val="superscript"/>
          <w:lang w:val="en-US"/>
        </w:rPr>
        <w:t>st</w:t>
      </w:r>
      <w:r w:rsidR="008B3276">
        <w:rPr>
          <w:rFonts w:ascii="Tahoma" w:hAnsi="Tahoma" w:cs="Tahoma"/>
          <w:sz w:val="20"/>
          <w:szCs w:val="20"/>
          <w:lang w:val="en-US"/>
        </w:rPr>
        <w:t xml:space="preserve"> year students) rather than the minimum 40 weeks. </w:t>
      </w:r>
      <w:r w:rsidRPr="008E5F96">
        <w:rPr>
          <w:rFonts w:ascii="Tahoma" w:hAnsi="Tahoma" w:cs="Tahoma"/>
          <w:sz w:val="20"/>
          <w:szCs w:val="20"/>
          <w:lang w:val="en-US"/>
        </w:rPr>
        <w:t>As the halls are catered, the food allowance is to cover midweek lunches and snacks.</w:t>
      </w:r>
    </w:p>
    <w:p w:rsidR="001772F5" w:rsidRDefault="001772F5" w:rsidP="007F1101">
      <w:pPr>
        <w:pStyle w:val="NormalWeb"/>
        <w:rPr>
          <w:rFonts w:ascii="Tahoma" w:hAnsi="Tahoma" w:cs="Tahoma"/>
          <w:sz w:val="20"/>
          <w:szCs w:val="20"/>
          <w:lang w:val="en-US"/>
        </w:rPr>
      </w:pPr>
    </w:p>
    <w:p w:rsidR="00B76510" w:rsidRDefault="00B76510" w:rsidP="007F1101">
      <w:pPr>
        <w:pStyle w:val="NormalWeb"/>
        <w:rPr>
          <w:rFonts w:ascii="Tahoma" w:hAnsi="Tahoma" w:cs="Tahoma"/>
          <w:sz w:val="20"/>
          <w:szCs w:val="20"/>
          <w:lang w:val="en-US"/>
        </w:rPr>
      </w:pPr>
    </w:p>
    <w:p w:rsidR="00B76510" w:rsidRPr="00B76510" w:rsidRDefault="00B76510" w:rsidP="007F1101">
      <w:pPr>
        <w:pStyle w:val="NormalWeb"/>
        <w:rPr>
          <w:rFonts w:ascii="Tahoma" w:hAnsi="Tahoma" w:cs="Tahoma"/>
          <w:b/>
          <w:sz w:val="20"/>
          <w:szCs w:val="20"/>
          <w:lang w:val="en-US"/>
        </w:rPr>
      </w:pPr>
      <w:r w:rsidRPr="00B76510">
        <w:rPr>
          <w:rFonts w:ascii="Tahoma" w:hAnsi="Tahoma" w:cs="Tahoma"/>
          <w:b/>
          <w:sz w:val="20"/>
          <w:szCs w:val="20"/>
          <w:lang w:val="en-US"/>
        </w:rPr>
        <w:t>Students in Shared Housing</w:t>
      </w:r>
    </w:p>
    <w:p w:rsidR="00145B24" w:rsidRDefault="00145B24" w:rsidP="007F1101">
      <w:pPr>
        <w:pStyle w:val="NormalWeb"/>
        <w:rPr>
          <w:rFonts w:ascii="Tahoma" w:hAnsi="Tahoma" w:cs="Tahoma"/>
          <w:color w:val="1F497D"/>
          <w:sz w:val="20"/>
          <w:szCs w:val="20"/>
          <w:lang w:val="en-US"/>
        </w:rPr>
      </w:pPr>
    </w:p>
    <w:p w:rsidR="006264CA" w:rsidRDefault="00B76510" w:rsidP="007F1101">
      <w:pPr>
        <w:pStyle w:val="NormalWeb"/>
        <w:rPr>
          <w:rFonts w:ascii="Tahoma" w:hAnsi="Tahoma" w:cs="Tahoma"/>
          <w:sz w:val="20"/>
          <w:szCs w:val="20"/>
          <w:lang w:val="en-US"/>
        </w:rPr>
      </w:pPr>
      <w:r w:rsidRPr="00B76510">
        <w:rPr>
          <w:rFonts w:ascii="Tahoma" w:hAnsi="Tahoma" w:cs="Tahoma"/>
          <w:sz w:val="20"/>
          <w:szCs w:val="20"/>
          <w:lang w:val="en-US"/>
        </w:rPr>
        <w:t xml:space="preserve">This refers to three or more students living in shared housing. </w:t>
      </w:r>
      <w:r w:rsidR="00187584">
        <w:rPr>
          <w:rFonts w:ascii="Tahoma" w:hAnsi="Tahoma" w:cs="Tahoma"/>
          <w:sz w:val="20"/>
          <w:szCs w:val="20"/>
          <w:lang w:val="en-US"/>
        </w:rPr>
        <w:t>The budget is</w:t>
      </w:r>
      <w:r w:rsidR="004C3C23">
        <w:rPr>
          <w:rFonts w:ascii="Tahoma" w:hAnsi="Tahoma" w:cs="Tahoma"/>
          <w:sz w:val="20"/>
          <w:szCs w:val="20"/>
          <w:lang w:val="en-US"/>
        </w:rPr>
        <w:t xml:space="preserve"> £</w:t>
      </w:r>
      <w:r w:rsidR="003A7E55">
        <w:rPr>
          <w:rFonts w:ascii="Tahoma" w:hAnsi="Tahoma" w:cs="Tahoma"/>
          <w:sz w:val="20"/>
          <w:szCs w:val="20"/>
          <w:lang w:val="en-US"/>
        </w:rPr>
        <w:t>112.20</w:t>
      </w:r>
      <w:r w:rsidR="004C3C23">
        <w:rPr>
          <w:rFonts w:ascii="Tahoma" w:hAnsi="Tahoma" w:cs="Tahoma"/>
          <w:sz w:val="20"/>
          <w:szCs w:val="20"/>
          <w:lang w:val="en-US"/>
        </w:rPr>
        <w:t xml:space="preserve"> per week (£5,</w:t>
      </w:r>
      <w:r w:rsidR="003A7E55">
        <w:rPr>
          <w:rFonts w:ascii="Tahoma" w:hAnsi="Tahoma" w:cs="Tahoma"/>
          <w:sz w:val="20"/>
          <w:szCs w:val="20"/>
          <w:lang w:val="en-US"/>
        </w:rPr>
        <w:t>834</w:t>
      </w:r>
      <w:r w:rsidR="004C3C23">
        <w:rPr>
          <w:rFonts w:ascii="Tahoma" w:hAnsi="Tahoma" w:cs="Tahoma"/>
          <w:sz w:val="20"/>
          <w:szCs w:val="20"/>
          <w:lang w:val="en-US"/>
        </w:rPr>
        <w:t xml:space="preserve"> per year)</w:t>
      </w:r>
      <w:r w:rsidR="006264CA">
        <w:rPr>
          <w:rFonts w:ascii="Tahoma" w:hAnsi="Tahoma" w:cs="Tahoma"/>
          <w:sz w:val="20"/>
          <w:szCs w:val="20"/>
          <w:lang w:val="en-US"/>
        </w:rPr>
        <w:t xml:space="preserve"> </w:t>
      </w:r>
      <w:r w:rsidRPr="00B76510">
        <w:rPr>
          <w:rFonts w:ascii="Tahoma" w:hAnsi="Tahoma" w:cs="Tahoma"/>
          <w:sz w:val="20"/>
          <w:szCs w:val="20"/>
          <w:lang w:val="en-US"/>
        </w:rPr>
        <w:t>in Hertfordshire.</w:t>
      </w:r>
      <w:r w:rsidR="000E4C4D">
        <w:rPr>
          <w:rFonts w:ascii="Tahoma" w:hAnsi="Tahoma" w:cs="Tahoma"/>
          <w:sz w:val="20"/>
          <w:szCs w:val="20"/>
          <w:lang w:val="en-US"/>
        </w:rPr>
        <w:t xml:space="preserve"> </w:t>
      </w:r>
    </w:p>
    <w:p w:rsidR="006264CA" w:rsidRDefault="006264CA" w:rsidP="007F1101">
      <w:pPr>
        <w:pStyle w:val="NormalWeb"/>
        <w:rPr>
          <w:rFonts w:ascii="Tahoma" w:hAnsi="Tahoma" w:cs="Tahoma"/>
          <w:sz w:val="20"/>
          <w:szCs w:val="20"/>
          <w:lang w:val="en-US"/>
        </w:rPr>
      </w:pPr>
    </w:p>
    <w:p w:rsidR="00B76510" w:rsidRPr="00B76510" w:rsidRDefault="000E4C4D" w:rsidP="007F1101">
      <w:pPr>
        <w:pStyle w:val="NormalWeb"/>
        <w:rPr>
          <w:rFonts w:ascii="Tahoma" w:hAnsi="Tahoma" w:cs="Tahoma"/>
          <w:sz w:val="20"/>
          <w:szCs w:val="20"/>
          <w:lang w:val="en-US"/>
        </w:rPr>
      </w:pPr>
      <w:r>
        <w:rPr>
          <w:rFonts w:ascii="Tahoma" w:hAnsi="Tahoma" w:cs="Tahoma"/>
          <w:sz w:val="20"/>
          <w:szCs w:val="20"/>
          <w:lang w:val="en-US"/>
        </w:rPr>
        <w:t xml:space="preserve">In London, prices are based on three students sharing in Kentish Town (NW5). </w:t>
      </w:r>
      <w:r w:rsidR="007C5744">
        <w:rPr>
          <w:rFonts w:ascii="Tahoma" w:hAnsi="Tahoma" w:cs="Tahoma"/>
          <w:sz w:val="20"/>
          <w:szCs w:val="20"/>
          <w:lang w:val="en-US"/>
        </w:rPr>
        <w:t xml:space="preserve">The </w:t>
      </w:r>
      <w:r w:rsidR="00187584">
        <w:rPr>
          <w:rFonts w:ascii="Tahoma" w:hAnsi="Tahoma" w:cs="Tahoma"/>
          <w:sz w:val="20"/>
          <w:szCs w:val="20"/>
          <w:lang w:val="en-US"/>
        </w:rPr>
        <w:t>budget is</w:t>
      </w:r>
      <w:r>
        <w:rPr>
          <w:rFonts w:ascii="Tahoma" w:hAnsi="Tahoma" w:cs="Tahoma"/>
          <w:sz w:val="20"/>
          <w:szCs w:val="20"/>
          <w:lang w:val="en-US"/>
        </w:rPr>
        <w:t xml:space="preserve"> </w:t>
      </w:r>
      <w:r w:rsidR="004C3C23">
        <w:rPr>
          <w:rFonts w:ascii="Tahoma" w:hAnsi="Tahoma" w:cs="Tahoma"/>
          <w:sz w:val="20"/>
          <w:szCs w:val="20"/>
          <w:lang w:val="en-US"/>
        </w:rPr>
        <w:t>£</w:t>
      </w:r>
      <w:r w:rsidR="003A7E55">
        <w:rPr>
          <w:rFonts w:ascii="Tahoma" w:hAnsi="Tahoma" w:cs="Tahoma"/>
          <w:sz w:val="20"/>
          <w:szCs w:val="20"/>
          <w:lang w:val="en-US"/>
        </w:rPr>
        <w:t>188.7</w:t>
      </w:r>
      <w:r w:rsidR="00C40071">
        <w:rPr>
          <w:rFonts w:ascii="Tahoma" w:hAnsi="Tahoma" w:cs="Tahoma"/>
          <w:sz w:val="20"/>
          <w:szCs w:val="20"/>
          <w:lang w:val="en-US"/>
        </w:rPr>
        <w:t>0</w:t>
      </w:r>
      <w:r w:rsidR="004C3C23">
        <w:rPr>
          <w:rFonts w:ascii="Tahoma" w:hAnsi="Tahoma" w:cs="Tahoma"/>
          <w:sz w:val="20"/>
          <w:szCs w:val="20"/>
          <w:lang w:val="en-US"/>
        </w:rPr>
        <w:t xml:space="preserve"> per week (£</w:t>
      </w:r>
      <w:r w:rsidR="003A7E55">
        <w:rPr>
          <w:rFonts w:ascii="Tahoma" w:hAnsi="Tahoma" w:cs="Tahoma"/>
          <w:sz w:val="20"/>
          <w:szCs w:val="20"/>
          <w:lang w:val="en-US"/>
        </w:rPr>
        <w:t>9,812</w:t>
      </w:r>
      <w:r w:rsidR="004C3C23">
        <w:rPr>
          <w:rFonts w:ascii="Tahoma" w:hAnsi="Tahoma" w:cs="Tahoma"/>
          <w:sz w:val="20"/>
          <w:szCs w:val="20"/>
          <w:lang w:val="en-US"/>
        </w:rPr>
        <w:t xml:space="preserve"> per year)</w:t>
      </w:r>
      <w:r w:rsidR="00DB3894">
        <w:rPr>
          <w:rFonts w:ascii="Tahoma" w:hAnsi="Tahoma" w:cs="Tahoma"/>
          <w:sz w:val="20"/>
          <w:szCs w:val="20"/>
          <w:lang w:val="en-US"/>
        </w:rPr>
        <w:t xml:space="preserve"> plus £</w:t>
      </w:r>
      <w:r w:rsidR="003A7E55">
        <w:rPr>
          <w:rFonts w:ascii="Tahoma" w:hAnsi="Tahoma" w:cs="Tahoma"/>
          <w:sz w:val="20"/>
          <w:szCs w:val="20"/>
          <w:lang w:val="en-US"/>
        </w:rPr>
        <w:t>1,132</w:t>
      </w:r>
      <w:r w:rsidR="00DB3894">
        <w:rPr>
          <w:rFonts w:ascii="Tahoma" w:hAnsi="Tahoma" w:cs="Tahoma"/>
          <w:sz w:val="20"/>
          <w:szCs w:val="20"/>
          <w:lang w:val="en-US"/>
        </w:rPr>
        <w:t xml:space="preserve"> deposit</w:t>
      </w:r>
      <w:r>
        <w:rPr>
          <w:rFonts w:ascii="Tahoma" w:hAnsi="Tahoma" w:cs="Tahoma"/>
          <w:sz w:val="20"/>
          <w:szCs w:val="20"/>
          <w:lang w:val="en-US"/>
        </w:rPr>
        <w:t>. Prices become cheaper in other nearby areas such as Holloway (N7), Upper Holloway (N19) and Finsbury Park (N4). Camden (NW1) is generally more expensive than the budget allows.</w:t>
      </w:r>
    </w:p>
    <w:p w:rsidR="00B76510" w:rsidRDefault="00B76510" w:rsidP="007F1101">
      <w:pPr>
        <w:pStyle w:val="NormalWeb"/>
        <w:rPr>
          <w:rFonts w:ascii="Tahoma" w:hAnsi="Tahoma" w:cs="Tahoma"/>
          <w:color w:val="1F497D"/>
          <w:sz w:val="20"/>
          <w:szCs w:val="20"/>
          <w:lang w:val="en-US"/>
        </w:rPr>
      </w:pPr>
    </w:p>
    <w:p w:rsidR="00FF6F9E" w:rsidRPr="00FF6F9E" w:rsidRDefault="00FF6F9E" w:rsidP="00FF6F9E">
      <w:pPr>
        <w:pStyle w:val="NoSpacing"/>
        <w:rPr>
          <w:rFonts w:ascii="Tahoma" w:hAnsi="Tahoma" w:cs="Tahoma"/>
          <w:sz w:val="20"/>
          <w:szCs w:val="20"/>
        </w:rPr>
      </w:pPr>
      <w:r w:rsidRPr="00FF6F9E">
        <w:rPr>
          <w:rFonts w:ascii="Tahoma" w:hAnsi="Tahoma" w:cs="Tahoma"/>
          <w:sz w:val="20"/>
          <w:szCs w:val="20"/>
        </w:rPr>
        <w:t>There are plenty of properties available at the budget of £</w:t>
      </w:r>
      <w:r w:rsidR="003A7E55">
        <w:rPr>
          <w:rFonts w:ascii="Tahoma" w:hAnsi="Tahoma" w:cs="Tahoma"/>
          <w:sz w:val="20"/>
          <w:szCs w:val="20"/>
        </w:rPr>
        <w:t>188.7</w:t>
      </w:r>
      <w:r w:rsidR="00803936">
        <w:rPr>
          <w:rFonts w:ascii="Tahoma" w:hAnsi="Tahoma" w:cs="Tahoma"/>
          <w:sz w:val="20"/>
          <w:szCs w:val="20"/>
        </w:rPr>
        <w:t>0</w:t>
      </w:r>
      <w:r w:rsidR="00A72BAF">
        <w:rPr>
          <w:rFonts w:ascii="Tahoma" w:hAnsi="Tahoma" w:cs="Tahoma"/>
          <w:sz w:val="20"/>
          <w:szCs w:val="20"/>
        </w:rPr>
        <w:t xml:space="preserve"> </w:t>
      </w:r>
      <w:r w:rsidRPr="00FF6F9E">
        <w:rPr>
          <w:rFonts w:ascii="Tahoma" w:hAnsi="Tahoma" w:cs="Tahoma"/>
          <w:sz w:val="20"/>
          <w:szCs w:val="20"/>
        </w:rPr>
        <w:t>p</w:t>
      </w:r>
      <w:r w:rsidR="00A72BAF">
        <w:rPr>
          <w:rFonts w:ascii="Tahoma" w:hAnsi="Tahoma" w:cs="Tahoma"/>
          <w:sz w:val="20"/>
          <w:szCs w:val="20"/>
        </w:rPr>
        <w:t xml:space="preserve">er </w:t>
      </w:r>
      <w:r w:rsidRPr="00FF6F9E">
        <w:rPr>
          <w:rFonts w:ascii="Tahoma" w:hAnsi="Tahoma" w:cs="Tahoma"/>
          <w:sz w:val="20"/>
          <w:szCs w:val="20"/>
        </w:rPr>
        <w:t>w</w:t>
      </w:r>
      <w:r w:rsidR="00A72BAF">
        <w:rPr>
          <w:rFonts w:ascii="Tahoma" w:hAnsi="Tahoma" w:cs="Tahoma"/>
          <w:sz w:val="20"/>
          <w:szCs w:val="20"/>
        </w:rPr>
        <w:t>eek</w:t>
      </w:r>
      <w:r w:rsidRPr="00FF6F9E">
        <w:rPr>
          <w:rFonts w:ascii="Tahoma" w:hAnsi="Tahoma" w:cs="Tahoma"/>
          <w:sz w:val="20"/>
          <w:szCs w:val="20"/>
        </w:rPr>
        <w:t xml:space="preserve"> for private accommodation in London in house-shares, including some in Camden or Kentish Town.  </w:t>
      </w:r>
    </w:p>
    <w:p w:rsidR="00FF6F9E" w:rsidRDefault="00FF6F9E" w:rsidP="007F1101">
      <w:pPr>
        <w:pStyle w:val="NormalWeb"/>
        <w:rPr>
          <w:rFonts w:ascii="Tahoma" w:hAnsi="Tahoma" w:cs="Tahoma"/>
          <w:color w:val="1F497D"/>
          <w:sz w:val="20"/>
          <w:szCs w:val="20"/>
          <w:lang w:val="en-US"/>
        </w:rPr>
      </w:pPr>
    </w:p>
    <w:p w:rsidR="008E5F96" w:rsidRPr="00B76510" w:rsidRDefault="008E5F96" w:rsidP="008E5F96">
      <w:pPr>
        <w:rPr>
          <w:rFonts w:ascii="Tahoma" w:eastAsia="Times New Roman" w:hAnsi="Tahoma" w:cs="Tahoma"/>
          <w:b/>
          <w:color w:val="000000"/>
          <w:sz w:val="20"/>
          <w:szCs w:val="20"/>
        </w:rPr>
      </w:pPr>
      <w:r w:rsidRPr="00B76510">
        <w:rPr>
          <w:rFonts w:ascii="Tahoma" w:eastAsia="Times New Roman" w:hAnsi="Tahoma" w:cs="Tahoma"/>
          <w:b/>
          <w:color w:val="000000"/>
          <w:sz w:val="20"/>
          <w:szCs w:val="20"/>
        </w:rPr>
        <w:t>Coupled Students</w:t>
      </w:r>
    </w:p>
    <w:p w:rsidR="007616F2" w:rsidRDefault="008E5F96" w:rsidP="008E5F96">
      <w:pPr>
        <w:pStyle w:val="NormalWeb"/>
        <w:rPr>
          <w:rFonts w:ascii="Tahoma" w:eastAsia="Times New Roman" w:hAnsi="Tahoma" w:cs="Tahoma"/>
          <w:color w:val="000000"/>
          <w:sz w:val="20"/>
          <w:szCs w:val="20"/>
        </w:rPr>
      </w:pPr>
      <w:r w:rsidRPr="00B76510">
        <w:rPr>
          <w:rFonts w:ascii="Tahoma" w:eastAsia="Times New Roman" w:hAnsi="Tahoma" w:cs="Tahoma"/>
          <w:color w:val="000000"/>
          <w:sz w:val="20"/>
          <w:szCs w:val="20"/>
        </w:rPr>
        <w:t xml:space="preserve">Students cannot support spouses/partners and are expected to split accommodation costs 50/50. Living in these circumstances is </w:t>
      </w:r>
      <w:r w:rsidR="007616F2">
        <w:rPr>
          <w:rFonts w:ascii="Tahoma" w:eastAsia="Times New Roman" w:hAnsi="Tahoma" w:cs="Tahoma"/>
          <w:color w:val="000000"/>
          <w:sz w:val="20"/>
          <w:szCs w:val="20"/>
        </w:rPr>
        <w:t>more</w:t>
      </w:r>
      <w:r w:rsidRPr="00B76510">
        <w:rPr>
          <w:rFonts w:ascii="Tahoma" w:eastAsia="Times New Roman" w:hAnsi="Tahoma" w:cs="Tahoma"/>
          <w:color w:val="000000"/>
          <w:sz w:val="20"/>
          <w:szCs w:val="20"/>
        </w:rPr>
        <w:t xml:space="preserve"> exp</w:t>
      </w:r>
      <w:r w:rsidR="00B76510">
        <w:rPr>
          <w:rFonts w:ascii="Tahoma" w:eastAsia="Times New Roman" w:hAnsi="Tahoma" w:cs="Tahoma"/>
          <w:color w:val="000000"/>
          <w:sz w:val="20"/>
          <w:szCs w:val="20"/>
        </w:rPr>
        <w:t>ensive than as a single student</w:t>
      </w:r>
      <w:r w:rsidR="007616F2">
        <w:rPr>
          <w:rFonts w:ascii="Tahoma" w:eastAsia="Times New Roman" w:hAnsi="Tahoma" w:cs="Tahoma"/>
          <w:color w:val="000000"/>
          <w:sz w:val="20"/>
          <w:szCs w:val="20"/>
        </w:rPr>
        <w:t xml:space="preserve"> in shared housing or halls</w:t>
      </w:r>
      <w:r w:rsidRPr="00B76510">
        <w:rPr>
          <w:rFonts w:ascii="Tahoma" w:eastAsia="Times New Roman" w:hAnsi="Tahoma" w:cs="Tahoma"/>
          <w:color w:val="000000"/>
          <w:sz w:val="20"/>
          <w:szCs w:val="20"/>
        </w:rPr>
        <w:t xml:space="preserve">. </w:t>
      </w:r>
    </w:p>
    <w:p w:rsidR="007616F2" w:rsidRDefault="007616F2" w:rsidP="008E5F96">
      <w:pPr>
        <w:pStyle w:val="NormalWeb"/>
        <w:rPr>
          <w:rFonts w:ascii="Tahoma" w:eastAsia="Times New Roman" w:hAnsi="Tahoma" w:cs="Tahoma"/>
          <w:color w:val="000000"/>
          <w:sz w:val="20"/>
          <w:szCs w:val="20"/>
        </w:rPr>
      </w:pPr>
    </w:p>
    <w:p w:rsidR="00145B24" w:rsidRDefault="00187584" w:rsidP="008E5F96">
      <w:pPr>
        <w:pStyle w:val="NormalWeb"/>
        <w:rPr>
          <w:rFonts w:ascii="Tahoma" w:eastAsia="Times New Roman" w:hAnsi="Tahoma" w:cs="Tahoma"/>
          <w:color w:val="000000"/>
          <w:sz w:val="20"/>
          <w:szCs w:val="20"/>
        </w:rPr>
      </w:pPr>
      <w:r>
        <w:rPr>
          <w:rFonts w:ascii="Tahoma" w:eastAsia="Times New Roman" w:hAnsi="Tahoma" w:cs="Tahoma"/>
          <w:color w:val="000000"/>
          <w:sz w:val="20"/>
          <w:szCs w:val="20"/>
        </w:rPr>
        <w:lastRenderedPageBreak/>
        <w:t>The budget is</w:t>
      </w:r>
      <w:r w:rsidR="008E5F96" w:rsidRPr="00B76510">
        <w:rPr>
          <w:rFonts w:ascii="Tahoma" w:eastAsia="Times New Roman" w:hAnsi="Tahoma" w:cs="Tahoma"/>
          <w:color w:val="000000"/>
          <w:sz w:val="20"/>
          <w:szCs w:val="20"/>
        </w:rPr>
        <w:t xml:space="preserve"> £1</w:t>
      </w:r>
      <w:r w:rsidR="003A7E55">
        <w:rPr>
          <w:rFonts w:ascii="Tahoma" w:eastAsia="Times New Roman" w:hAnsi="Tahoma" w:cs="Tahoma"/>
          <w:color w:val="000000"/>
          <w:sz w:val="20"/>
          <w:szCs w:val="20"/>
        </w:rPr>
        <w:t>34</w:t>
      </w:r>
      <w:r w:rsidR="008E5F96" w:rsidRPr="00B76510">
        <w:rPr>
          <w:rFonts w:ascii="Tahoma" w:eastAsia="Times New Roman" w:hAnsi="Tahoma" w:cs="Tahoma"/>
          <w:color w:val="000000"/>
          <w:sz w:val="20"/>
          <w:szCs w:val="20"/>
        </w:rPr>
        <w:t>pw (£</w:t>
      </w:r>
      <w:r w:rsidR="00DE2C14">
        <w:rPr>
          <w:rFonts w:ascii="Tahoma" w:eastAsia="Times New Roman" w:hAnsi="Tahoma" w:cs="Tahoma"/>
          <w:color w:val="000000"/>
          <w:sz w:val="20"/>
          <w:szCs w:val="20"/>
        </w:rPr>
        <w:t>5</w:t>
      </w:r>
      <w:r w:rsidR="003A7E55">
        <w:rPr>
          <w:rFonts w:ascii="Tahoma" w:eastAsia="Times New Roman" w:hAnsi="Tahoma" w:cs="Tahoma"/>
          <w:color w:val="000000"/>
          <w:sz w:val="20"/>
          <w:szCs w:val="20"/>
        </w:rPr>
        <w:t>81</w:t>
      </w:r>
      <w:r w:rsidR="007616F2">
        <w:rPr>
          <w:rFonts w:ascii="Tahoma" w:eastAsia="Times New Roman" w:hAnsi="Tahoma" w:cs="Tahoma"/>
          <w:color w:val="000000"/>
          <w:sz w:val="20"/>
          <w:szCs w:val="20"/>
        </w:rPr>
        <w:t xml:space="preserve"> per month</w:t>
      </w:r>
      <w:r w:rsidR="008E5F96" w:rsidRPr="00B76510">
        <w:rPr>
          <w:rFonts w:ascii="Tahoma" w:eastAsia="Times New Roman" w:hAnsi="Tahoma" w:cs="Tahoma"/>
          <w:color w:val="000000"/>
          <w:sz w:val="20"/>
          <w:szCs w:val="20"/>
        </w:rPr>
        <w:t>/£6,</w:t>
      </w:r>
      <w:r w:rsidR="003A7E55">
        <w:rPr>
          <w:rFonts w:ascii="Tahoma" w:eastAsia="Times New Roman" w:hAnsi="Tahoma" w:cs="Tahoma"/>
          <w:color w:val="000000"/>
          <w:sz w:val="20"/>
          <w:szCs w:val="20"/>
        </w:rPr>
        <w:t>968</w:t>
      </w:r>
      <w:r w:rsidR="007616F2">
        <w:rPr>
          <w:rFonts w:ascii="Tahoma" w:eastAsia="Times New Roman" w:hAnsi="Tahoma" w:cs="Tahoma"/>
          <w:color w:val="000000"/>
          <w:sz w:val="20"/>
          <w:szCs w:val="20"/>
        </w:rPr>
        <w:t xml:space="preserve"> per year</w:t>
      </w:r>
      <w:r w:rsidR="008E5F96" w:rsidRPr="00B76510">
        <w:rPr>
          <w:rFonts w:ascii="Tahoma" w:eastAsia="Times New Roman" w:hAnsi="Tahoma" w:cs="Tahoma"/>
          <w:color w:val="000000"/>
          <w:sz w:val="20"/>
          <w:szCs w:val="20"/>
        </w:rPr>
        <w:t xml:space="preserve">) </w:t>
      </w:r>
      <w:r w:rsidR="006264CA">
        <w:rPr>
          <w:rFonts w:ascii="Tahoma" w:eastAsia="Times New Roman" w:hAnsi="Tahoma" w:cs="Tahoma"/>
          <w:color w:val="000000"/>
          <w:sz w:val="20"/>
          <w:szCs w:val="20"/>
        </w:rPr>
        <w:t xml:space="preserve">for </w:t>
      </w:r>
      <w:r w:rsidR="007616F2">
        <w:rPr>
          <w:rFonts w:ascii="Tahoma" w:eastAsia="Times New Roman" w:hAnsi="Tahoma" w:cs="Tahoma"/>
          <w:color w:val="000000"/>
          <w:sz w:val="20"/>
          <w:szCs w:val="20"/>
        </w:rPr>
        <w:t>Hertfordshire</w:t>
      </w:r>
      <w:r w:rsidR="008E5F96" w:rsidRPr="00B76510">
        <w:rPr>
          <w:rFonts w:ascii="Tahoma" w:eastAsia="Times New Roman" w:hAnsi="Tahoma" w:cs="Tahoma"/>
          <w:color w:val="000000"/>
          <w:sz w:val="20"/>
          <w:szCs w:val="20"/>
        </w:rPr>
        <w:t>.</w:t>
      </w:r>
    </w:p>
    <w:p w:rsidR="00A72BAF" w:rsidRPr="00B76510" w:rsidRDefault="00A72BAF" w:rsidP="008E5F96">
      <w:pPr>
        <w:pStyle w:val="NormalWeb"/>
        <w:rPr>
          <w:rFonts w:ascii="Tahoma" w:hAnsi="Tahoma" w:cs="Tahoma"/>
          <w:color w:val="1F497D"/>
          <w:sz w:val="20"/>
          <w:szCs w:val="20"/>
          <w:lang w:val="en-US"/>
        </w:rPr>
      </w:pPr>
    </w:p>
    <w:p w:rsidR="007616F2" w:rsidRDefault="00187584" w:rsidP="007616F2">
      <w:pPr>
        <w:pStyle w:val="NormalWeb"/>
        <w:rPr>
          <w:rFonts w:ascii="Tahoma" w:hAnsi="Tahoma" w:cs="Tahoma"/>
          <w:sz w:val="20"/>
          <w:szCs w:val="20"/>
        </w:rPr>
      </w:pPr>
      <w:r>
        <w:rPr>
          <w:rFonts w:ascii="Tahoma" w:eastAsia="Times New Roman" w:hAnsi="Tahoma" w:cs="Tahoma"/>
          <w:color w:val="000000"/>
          <w:sz w:val="20"/>
          <w:szCs w:val="20"/>
        </w:rPr>
        <w:t>The</w:t>
      </w:r>
      <w:r w:rsidR="007616F2" w:rsidRPr="00B76510">
        <w:rPr>
          <w:rFonts w:ascii="Tahoma" w:eastAsia="Times New Roman" w:hAnsi="Tahoma" w:cs="Tahoma"/>
          <w:color w:val="000000"/>
          <w:sz w:val="20"/>
          <w:szCs w:val="20"/>
        </w:rPr>
        <w:t xml:space="preserve"> limit </w:t>
      </w:r>
      <w:r>
        <w:rPr>
          <w:rFonts w:ascii="Tahoma" w:eastAsia="Times New Roman" w:hAnsi="Tahoma" w:cs="Tahoma"/>
          <w:color w:val="000000"/>
          <w:sz w:val="20"/>
          <w:szCs w:val="20"/>
        </w:rPr>
        <w:t>of</w:t>
      </w:r>
      <w:r w:rsidR="007616F2" w:rsidRPr="00B76510">
        <w:rPr>
          <w:rFonts w:ascii="Tahoma" w:eastAsia="Times New Roman" w:hAnsi="Tahoma" w:cs="Tahoma"/>
          <w:color w:val="000000"/>
          <w:sz w:val="20"/>
          <w:szCs w:val="20"/>
        </w:rPr>
        <w:t xml:space="preserve"> </w:t>
      </w:r>
      <w:r w:rsidR="003A7E55">
        <w:rPr>
          <w:rFonts w:ascii="Tahoma" w:hAnsi="Tahoma" w:cs="Tahoma"/>
          <w:sz w:val="20"/>
          <w:szCs w:val="20"/>
          <w:lang w:val="en-US"/>
        </w:rPr>
        <w:t>£188.70 per week (£9,812 per year) plus £1,132 deposit</w:t>
      </w:r>
      <w:r w:rsidR="003A7E55">
        <w:rPr>
          <w:rFonts w:ascii="Tahoma" w:eastAsia="Times New Roman" w:hAnsi="Tahoma" w:cs="Tahoma"/>
          <w:color w:val="000000"/>
          <w:sz w:val="20"/>
          <w:szCs w:val="20"/>
        </w:rPr>
        <w:t xml:space="preserve"> </w:t>
      </w:r>
      <w:r w:rsidR="007616F2">
        <w:rPr>
          <w:rFonts w:ascii="Tahoma" w:eastAsia="Times New Roman" w:hAnsi="Tahoma" w:cs="Tahoma"/>
          <w:color w:val="000000"/>
          <w:sz w:val="20"/>
          <w:szCs w:val="20"/>
        </w:rPr>
        <w:t xml:space="preserve">for </w:t>
      </w:r>
      <w:r w:rsidR="0056013C">
        <w:rPr>
          <w:rFonts w:ascii="Tahoma" w:eastAsia="Times New Roman" w:hAnsi="Tahoma" w:cs="Tahoma"/>
          <w:color w:val="000000"/>
          <w:sz w:val="20"/>
          <w:szCs w:val="20"/>
        </w:rPr>
        <w:t xml:space="preserve">private accommodation in </w:t>
      </w:r>
      <w:r w:rsidR="007616F2">
        <w:rPr>
          <w:rFonts w:ascii="Tahoma" w:eastAsia="Times New Roman" w:hAnsi="Tahoma" w:cs="Tahoma"/>
          <w:color w:val="000000"/>
          <w:sz w:val="20"/>
          <w:szCs w:val="20"/>
        </w:rPr>
        <w:t>London</w:t>
      </w:r>
      <w:r w:rsidR="0056013C">
        <w:rPr>
          <w:rFonts w:ascii="Tahoma" w:eastAsia="Times New Roman" w:hAnsi="Tahoma" w:cs="Tahoma"/>
          <w:color w:val="000000"/>
          <w:sz w:val="20"/>
          <w:szCs w:val="20"/>
        </w:rPr>
        <w:t xml:space="preserve"> </w:t>
      </w:r>
      <w:r>
        <w:rPr>
          <w:rFonts w:ascii="Tahoma" w:eastAsia="Times New Roman" w:hAnsi="Tahoma" w:cs="Tahoma"/>
          <w:color w:val="000000"/>
          <w:sz w:val="20"/>
          <w:szCs w:val="20"/>
        </w:rPr>
        <w:t>still applies</w:t>
      </w:r>
      <w:r w:rsidR="0056013C">
        <w:rPr>
          <w:rFonts w:ascii="Tahoma" w:eastAsia="Times New Roman" w:hAnsi="Tahoma" w:cs="Tahoma"/>
          <w:color w:val="000000"/>
          <w:sz w:val="20"/>
          <w:szCs w:val="20"/>
        </w:rPr>
        <w:t xml:space="preserve">. </w:t>
      </w:r>
      <w:r w:rsidR="0056013C" w:rsidRPr="00FF6F9E">
        <w:rPr>
          <w:rFonts w:ascii="Tahoma" w:hAnsi="Tahoma" w:cs="Tahoma"/>
          <w:sz w:val="20"/>
          <w:szCs w:val="20"/>
        </w:rPr>
        <w:t>There are plenty of affordable 2 bedroom properties in Holloway, Upper Holloway and Finsbury Park.</w:t>
      </w:r>
    </w:p>
    <w:p w:rsidR="006060C2" w:rsidRDefault="006060C2" w:rsidP="007616F2">
      <w:pPr>
        <w:pStyle w:val="NormalWeb"/>
        <w:rPr>
          <w:rFonts w:ascii="Tahoma" w:hAnsi="Tahoma" w:cs="Tahoma"/>
          <w:sz w:val="20"/>
          <w:szCs w:val="20"/>
        </w:rPr>
      </w:pPr>
    </w:p>
    <w:p w:rsidR="00187584" w:rsidRPr="00B76510" w:rsidRDefault="00187584" w:rsidP="00187584">
      <w:pPr>
        <w:rPr>
          <w:rFonts w:ascii="Tahoma" w:eastAsia="Times New Roman" w:hAnsi="Tahoma" w:cs="Tahoma"/>
          <w:b/>
          <w:color w:val="000000"/>
          <w:sz w:val="20"/>
          <w:szCs w:val="20"/>
        </w:rPr>
      </w:pPr>
      <w:r w:rsidRPr="00B76510">
        <w:rPr>
          <w:rFonts w:ascii="Tahoma" w:eastAsia="Times New Roman" w:hAnsi="Tahoma" w:cs="Tahoma"/>
          <w:b/>
          <w:color w:val="000000"/>
          <w:sz w:val="20"/>
          <w:szCs w:val="20"/>
        </w:rPr>
        <w:t>Students</w:t>
      </w:r>
      <w:r>
        <w:rPr>
          <w:rFonts w:ascii="Tahoma" w:eastAsia="Times New Roman" w:hAnsi="Tahoma" w:cs="Tahoma"/>
          <w:b/>
          <w:color w:val="000000"/>
          <w:sz w:val="20"/>
          <w:szCs w:val="20"/>
        </w:rPr>
        <w:t xml:space="preserve"> </w:t>
      </w:r>
      <w:r w:rsidR="003A7E55">
        <w:rPr>
          <w:rFonts w:ascii="Tahoma" w:eastAsia="Times New Roman" w:hAnsi="Tahoma" w:cs="Tahoma"/>
          <w:b/>
          <w:color w:val="000000"/>
          <w:sz w:val="20"/>
          <w:szCs w:val="20"/>
        </w:rPr>
        <w:t>with</w:t>
      </w:r>
      <w:r>
        <w:rPr>
          <w:rFonts w:ascii="Tahoma" w:eastAsia="Times New Roman" w:hAnsi="Tahoma" w:cs="Tahoma"/>
          <w:b/>
          <w:color w:val="000000"/>
          <w:sz w:val="20"/>
          <w:szCs w:val="20"/>
        </w:rPr>
        <w:t xml:space="preserve"> Dependents</w:t>
      </w:r>
    </w:p>
    <w:p w:rsidR="00187584" w:rsidRDefault="00187584" w:rsidP="00187584">
      <w:pPr>
        <w:pStyle w:val="NormalWeb"/>
        <w:rPr>
          <w:rFonts w:ascii="Tahoma" w:hAnsi="Tahoma" w:cs="Tahoma"/>
          <w:sz w:val="20"/>
          <w:szCs w:val="20"/>
        </w:rPr>
      </w:pPr>
      <w:r>
        <w:rPr>
          <w:rFonts w:ascii="Tahoma" w:eastAsia="Times New Roman" w:hAnsi="Tahoma" w:cs="Tahoma"/>
          <w:color w:val="000000"/>
          <w:sz w:val="20"/>
          <w:szCs w:val="20"/>
        </w:rPr>
        <w:t>We recognise that students with dependents will have different accommodation requirements and we will treat those on a case by case basis.</w:t>
      </w:r>
    </w:p>
    <w:p w:rsidR="00187584" w:rsidRDefault="00187584" w:rsidP="006060C2">
      <w:pPr>
        <w:rPr>
          <w:rFonts w:ascii="Tahoma" w:eastAsia="Times New Roman" w:hAnsi="Tahoma" w:cs="Tahoma"/>
          <w:b/>
          <w:color w:val="000000"/>
          <w:sz w:val="20"/>
          <w:szCs w:val="20"/>
        </w:rPr>
      </w:pPr>
    </w:p>
    <w:p w:rsidR="00B301B2" w:rsidRDefault="00B301B2" w:rsidP="006060C2">
      <w:pPr>
        <w:rPr>
          <w:rFonts w:ascii="Tahoma" w:eastAsia="Times New Roman" w:hAnsi="Tahoma" w:cs="Tahoma"/>
          <w:b/>
          <w:color w:val="000000"/>
          <w:sz w:val="20"/>
          <w:szCs w:val="20"/>
        </w:rPr>
      </w:pPr>
    </w:p>
    <w:p w:rsidR="006060C2" w:rsidRPr="00B76510" w:rsidRDefault="006060C2" w:rsidP="006060C2">
      <w:pPr>
        <w:rPr>
          <w:rFonts w:ascii="Tahoma" w:eastAsia="Times New Roman" w:hAnsi="Tahoma" w:cs="Tahoma"/>
          <w:b/>
          <w:color w:val="000000"/>
          <w:sz w:val="20"/>
          <w:szCs w:val="20"/>
        </w:rPr>
      </w:pPr>
      <w:r w:rsidRPr="00B76510">
        <w:rPr>
          <w:rFonts w:ascii="Tahoma" w:eastAsia="Times New Roman" w:hAnsi="Tahoma" w:cs="Tahoma"/>
          <w:b/>
          <w:color w:val="000000"/>
          <w:sz w:val="20"/>
          <w:szCs w:val="20"/>
        </w:rPr>
        <w:t>Students</w:t>
      </w:r>
      <w:r>
        <w:rPr>
          <w:rFonts w:ascii="Tahoma" w:eastAsia="Times New Roman" w:hAnsi="Tahoma" w:cs="Tahoma"/>
          <w:b/>
          <w:color w:val="000000"/>
          <w:sz w:val="20"/>
          <w:szCs w:val="20"/>
        </w:rPr>
        <w:t xml:space="preserve"> Living Alone</w:t>
      </w:r>
    </w:p>
    <w:p w:rsidR="006060C2" w:rsidRDefault="006060C2" w:rsidP="006060C2">
      <w:pPr>
        <w:pStyle w:val="NormalWeb"/>
        <w:rPr>
          <w:rFonts w:ascii="Tahoma" w:eastAsia="Times New Roman" w:hAnsi="Tahoma" w:cs="Tahoma"/>
          <w:color w:val="000000"/>
          <w:sz w:val="20"/>
          <w:szCs w:val="20"/>
        </w:rPr>
      </w:pPr>
      <w:r w:rsidRPr="00B76510">
        <w:rPr>
          <w:rFonts w:ascii="Tahoma" w:eastAsia="Times New Roman" w:hAnsi="Tahoma" w:cs="Tahoma"/>
          <w:color w:val="000000"/>
          <w:sz w:val="20"/>
          <w:szCs w:val="20"/>
        </w:rPr>
        <w:t>Students</w:t>
      </w:r>
      <w:r>
        <w:rPr>
          <w:rFonts w:ascii="Tahoma" w:eastAsia="Times New Roman" w:hAnsi="Tahoma" w:cs="Tahoma"/>
          <w:color w:val="000000"/>
          <w:sz w:val="20"/>
          <w:szCs w:val="20"/>
        </w:rPr>
        <w:t xml:space="preserve"> are not expected to live alone, and would not obtain a studio or one bedroom flat on the budget allocated near the college campuses. </w:t>
      </w:r>
      <w:r w:rsidR="00187584">
        <w:rPr>
          <w:rFonts w:ascii="Tahoma" w:eastAsia="Times New Roman" w:hAnsi="Tahoma" w:cs="Tahoma"/>
          <w:color w:val="000000"/>
          <w:sz w:val="20"/>
          <w:szCs w:val="20"/>
        </w:rPr>
        <w:t>If you are requesting extra funds over the budget set to support living alone, you must make a case for this living arrangement.</w:t>
      </w:r>
    </w:p>
    <w:p w:rsidR="005125A9" w:rsidRDefault="005125A9" w:rsidP="006060C2">
      <w:pPr>
        <w:pStyle w:val="NormalWeb"/>
        <w:rPr>
          <w:rFonts w:ascii="Tahoma" w:eastAsia="Times New Roman" w:hAnsi="Tahoma" w:cs="Tahoma"/>
          <w:color w:val="000000"/>
          <w:sz w:val="20"/>
          <w:szCs w:val="20"/>
        </w:rPr>
      </w:pPr>
    </w:p>
    <w:p w:rsidR="005125A9" w:rsidRPr="005125A9" w:rsidRDefault="005125A9" w:rsidP="006060C2">
      <w:pPr>
        <w:pStyle w:val="NormalWeb"/>
        <w:rPr>
          <w:rFonts w:ascii="Tahoma" w:eastAsia="Times New Roman" w:hAnsi="Tahoma" w:cs="Tahoma"/>
          <w:b/>
          <w:color w:val="000000"/>
          <w:sz w:val="20"/>
          <w:szCs w:val="20"/>
        </w:rPr>
      </w:pPr>
      <w:r w:rsidRPr="005125A9">
        <w:rPr>
          <w:rFonts w:ascii="Tahoma" w:eastAsia="Times New Roman" w:hAnsi="Tahoma" w:cs="Tahoma"/>
          <w:b/>
          <w:color w:val="000000"/>
          <w:sz w:val="20"/>
          <w:szCs w:val="20"/>
        </w:rPr>
        <w:t>Deposits</w:t>
      </w:r>
    </w:p>
    <w:p w:rsidR="005125A9" w:rsidRPr="00187584" w:rsidRDefault="005125A9" w:rsidP="00187584">
      <w:pPr>
        <w:pStyle w:val="NormalWeb"/>
        <w:rPr>
          <w:rFonts w:ascii="Tahoma" w:eastAsia="Times New Roman" w:hAnsi="Tahoma" w:cs="Tahoma"/>
          <w:color w:val="000000"/>
          <w:sz w:val="20"/>
          <w:szCs w:val="20"/>
        </w:rPr>
      </w:pPr>
      <w:r>
        <w:rPr>
          <w:rFonts w:ascii="Tahoma" w:eastAsia="Times New Roman" w:hAnsi="Tahoma" w:cs="Tahoma"/>
          <w:color w:val="000000"/>
          <w:sz w:val="20"/>
          <w:szCs w:val="20"/>
        </w:rPr>
        <w:t>Deposits have been factored in for all accommodation categories, except private accommodation (Herts). It is assumed students choosing that category will have paid deposits previously they can re-use.</w:t>
      </w:r>
      <w:r w:rsidR="00187584">
        <w:rPr>
          <w:rFonts w:ascii="Tahoma" w:eastAsia="Times New Roman" w:hAnsi="Tahoma" w:cs="Tahoma"/>
          <w:color w:val="000000"/>
          <w:sz w:val="20"/>
          <w:szCs w:val="20"/>
        </w:rPr>
        <w:t xml:space="preserve"> </w:t>
      </w:r>
      <w:r w:rsidR="00187584" w:rsidRPr="00187584">
        <w:rPr>
          <w:rFonts w:ascii="Tahoma" w:eastAsia="Times New Roman" w:hAnsi="Tahoma" w:cs="Tahoma"/>
          <w:color w:val="000000"/>
          <w:sz w:val="20"/>
          <w:szCs w:val="20"/>
        </w:rPr>
        <w:t xml:space="preserve">Similarly students moving from halls to private accommodation in London will have a </w:t>
      </w:r>
      <w:r w:rsidR="003A7E55">
        <w:rPr>
          <w:rFonts w:ascii="Tahoma" w:eastAsia="Times New Roman" w:hAnsi="Tahoma" w:cs="Tahoma"/>
          <w:color w:val="000000"/>
          <w:sz w:val="20"/>
          <w:szCs w:val="20"/>
        </w:rPr>
        <w:t>reduced deposit allowance of £56</w:t>
      </w:r>
      <w:r w:rsidR="00187584" w:rsidRPr="00187584">
        <w:rPr>
          <w:rFonts w:ascii="Tahoma" w:eastAsia="Times New Roman" w:hAnsi="Tahoma" w:cs="Tahoma"/>
          <w:color w:val="000000"/>
          <w:sz w:val="20"/>
          <w:szCs w:val="20"/>
        </w:rPr>
        <w:t>0.</w:t>
      </w:r>
    </w:p>
    <w:p w:rsidR="00AB10D1" w:rsidRDefault="00AB10D1" w:rsidP="006060C2">
      <w:pPr>
        <w:pStyle w:val="NormalWeb"/>
        <w:rPr>
          <w:rFonts w:ascii="Tahoma" w:eastAsia="Times New Roman" w:hAnsi="Tahoma" w:cs="Tahoma"/>
          <w:color w:val="000000"/>
          <w:sz w:val="20"/>
          <w:szCs w:val="20"/>
        </w:rPr>
      </w:pPr>
    </w:p>
    <w:p w:rsidR="00AB10D1" w:rsidRDefault="00AB10D1" w:rsidP="007F1101">
      <w:pPr>
        <w:pStyle w:val="NormalWeb"/>
        <w:rPr>
          <w:rFonts w:ascii="Tahoma" w:hAnsi="Tahoma" w:cs="Tahoma"/>
          <w:color w:val="000000"/>
          <w:sz w:val="20"/>
          <w:szCs w:val="20"/>
          <w:lang w:val="en-US"/>
        </w:rPr>
      </w:pPr>
    </w:p>
    <w:p w:rsidR="007F1101" w:rsidRPr="001934A5" w:rsidRDefault="007F1101" w:rsidP="007F1101">
      <w:pPr>
        <w:pStyle w:val="NormalWeb"/>
        <w:rPr>
          <w:rStyle w:val="Strong"/>
          <w:rFonts w:ascii="Tahoma" w:hAnsi="Tahoma" w:cs="Tahoma"/>
        </w:rPr>
      </w:pPr>
      <w:r w:rsidRPr="001934A5">
        <w:rPr>
          <w:rStyle w:val="Strong"/>
          <w:rFonts w:ascii="Tahoma" w:hAnsi="Tahoma" w:cs="Tahoma"/>
          <w:lang w:val="en-US"/>
        </w:rPr>
        <w:t>Utilities</w:t>
      </w:r>
    </w:p>
    <w:p w:rsidR="007F1101" w:rsidRPr="007F1101" w:rsidRDefault="007F1101" w:rsidP="007F1101">
      <w:pPr>
        <w:pStyle w:val="NormalWeb"/>
        <w:rPr>
          <w:rStyle w:val="Strong"/>
          <w:rFonts w:ascii="Tahoma" w:hAnsi="Tahoma" w:cs="Tahoma"/>
          <w:color w:val="1F497D"/>
          <w:lang w:val="en-US"/>
        </w:rPr>
      </w:pPr>
    </w:p>
    <w:p w:rsidR="00030DC8" w:rsidRDefault="00030DC8" w:rsidP="007F1101">
      <w:pPr>
        <w:pStyle w:val="NormalWeb"/>
        <w:rPr>
          <w:rFonts w:ascii="Tahoma" w:hAnsi="Tahoma" w:cs="Tahoma"/>
          <w:color w:val="000000"/>
          <w:sz w:val="20"/>
          <w:szCs w:val="20"/>
          <w:lang w:val="en-US"/>
        </w:rPr>
      </w:pPr>
      <w:r>
        <w:rPr>
          <w:rFonts w:ascii="Tahoma" w:hAnsi="Tahoma" w:cs="Tahoma"/>
          <w:color w:val="000000"/>
          <w:sz w:val="20"/>
          <w:szCs w:val="20"/>
          <w:lang w:val="en-US"/>
        </w:rPr>
        <w:t>These are your gas, electricity and w</w:t>
      </w:r>
      <w:r w:rsidR="00A3792A">
        <w:rPr>
          <w:rFonts w:ascii="Tahoma" w:hAnsi="Tahoma" w:cs="Tahoma"/>
          <w:color w:val="000000"/>
          <w:sz w:val="20"/>
          <w:szCs w:val="20"/>
          <w:lang w:val="en-US"/>
        </w:rPr>
        <w:t>ater costs. The allowance is £1</w:t>
      </w:r>
      <w:r w:rsidR="00627664">
        <w:rPr>
          <w:rFonts w:ascii="Tahoma" w:hAnsi="Tahoma" w:cs="Tahoma"/>
          <w:color w:val="000000"/>
          <w:sz w:val="20"/>
          <w:szCs w:val="20"/>
          <w:lang w:val="en-US"/>
        </w:rPr>
        <w:t>8</w:t>
      </w:r>
      <w:r>
        <w:rPr>
          <w:rFonts w:ascii="Tahoma" w:hAnsi="Tahoma" w:cs="Tahoma"/>
          <w:color w:val="000000"/>
          <w:sz w:val="20"/>
          <w:szCs w:val="20"/>
          <w:lang w:val="en-US"/>
        </w:rPr>
        <w:t xml:space="preserve"> per week. Students in halls do not get a utilities allowance.</w:t>
      </w:r>
    </w:p>
    <w:p w:rsidR="00030DC8" w:rsidRDefault="00030DC8" w:rsidP="007F1101">
      <w:pPr>
        <w:pStyle w:val="NormalWeb"/>
        <w:rPr>
          <w:rFonts w:ascii="Tahoma" w:hAnsi="Tahoma" w:cs="Tahoma"/>
          <w:color w:val="000000"/>
          <w:sz w:val="20"/>
          <w:szCs w:val="20"/>
          <w:lang w:val="en-US"/>
        </w:rPr>
      </w:pPr>
    </w:p>
    <w:p w:rsidR="00532D98" w:rsidRPr="007F1101" w:rsidRDefault="00532D98" w:rsidP="007F1101">
      <w:pPr>
        <w:pStyle w:val="NormalWeb"/>
        <w:rPr>
          <w:rFonts w:ascii="Tahoma" w:hAnsi="Tahoma" w:cs="Tahoma"/>
          <w:color w:val="000000"/>
          <w:sz w:val="20"/>
          <w:szCs w:val="20"/>
          <w:lang w:val="en-US"/>
        </w:rPr>
      </w:pPr>
    </w:p>
    <w:p w:rsidR="007F1101" w:rsidRPr="001934A5" w:rsidRDefault="007F1101" w:rsidP="007F1101">
      <w:pPr>
        <w:pStyle w:val="NormalWeb"/>
        <w:rPr>
          <w:rStyle w:val="Strong"/>
          <w:rFonts w:ascii="Tahoma" w:hAnsi="Tahoma" w:cs="Tahoma"/>
        </w:rPr>
      </w:pPr>
      <w:r w:rsidRPr="001934A5">
        <w:rPr>
          <w:rStyle w:val="Strong"/>
          <w:rFonts w:ascii="Tahoma" w:hAnsi="Tahoma" w:cs="Tahoma"/>
          <w:lang w:val="en-US"/>
        </w:rPr>
        <w:t>Food</w:t>
      </w:r>
      <w:r w:rsidR="00394A47">
        <w:rPr>
          <w:rStyle w:val="Strong"/>
          <w:rFonts w:ascii="Tahoma" w:hAnsi="Tahoma" w:cs="Tahoma"/>
          <w:lang w:val="en-US"/>
        </w:rPr>
        <w:t>/Essentials</w:t>
      </w:r>
    </w:p>
    <w:p w:rsidR="007F1101" w:rsidRDefault="00472912" w:rsidP="007F1101">
      <w:pPr>
        <w:pStyle w:val="NormalWeb"/>
        <w:rPr>
          <w:rStyle w:val="Strong"/>
          <w:rFonts w:ascii="Tahoma" w:hAnsi="Tahoma" w:cs="Tahoma"/>
          <w:b w:val="0"/>
          <w:sz w:val="20"/>
          <w:szCs w:val="20"/>
          <w:lang w:val="en-US"/>
        </w:rPr>
      </w:pPr>
      <w:r w:rsidRPr="00472912">
        <w:rPr>
          <w:rStyle w:val="Strong"/>
          <w:rFonts w:ascii="Tahoma" w:hAnsi="Tahoma" w:cs="Tahoma"/>
          <w:b w:val="0"/>
          <w:sz w:val="20"/>
          <w:szCs w:val="20"/>
          <w:lang w:val="en-US"/>
        </w:rPr>
        <w:lastRenderedPageBreak/>
        <w:t xml:space="preserve">There is a </w:t>
      </w:r>
      <w:r>
        <w:rPr>
          <w:rStyle w:val="Strong"/>
          <w:rFonts w:ascii="Tahoma" w:hAnsi="Tahoma" w:cs="Tahoma"/>
          <w:b w:val="0"/>
          <w:sz w:val="20"/>
          <w:szCs w:val="20"/>
          <w:lang w:val="en-US"/>
        </w:rPr>
        <w:t>budget of £</w:t>
      </w:r>
      <w:r w:rsidR="001F3D82">
        <w:rPr>
          <w:rStyle w:val="Strong"/>
          <w:rFonts w:ascii="Tahoma" w:hAnsi="Tahoma" w:cs="Tahoma"/>
          <w:b w:val="0"/>
          <w:sz w:val="20"/>
          <w:szCs w:val="20"/>
          <w:lang w:val="en-US"/>
        </w:rPr>
        <w:t>71</w:t>
      </w:r>
      <w:r>
        <w:rPr>
          <w:rStyle w:val="Strong"/>
          <w:rFonts w:ascii="Tahoma" w:hAnsi="Tahoma" w:cs="Tahoma"/>
          <w:b w:val="0"/>
          <w:sz w:val="20"/>
          <w:szCs w:val="20"/>
          <w:lang w:val="en-US"/>
        </w:rPr>
        <w:t xml:space="preserve"> per week for food. Intercollegiate Halls are fully catered, so a budget of £</w:t>
      </w:r>
      <w:r w:rsidR="001F3D82">
        <w:rPr>
          <w:rStyle w:val="Strong"/>
          <w:rFonts w:ascii="Tahoma" w:hAnsi="Tahoma" w:cs="Tahoma"/>
          <w:b w:val="0"/>
          <w:sz w:val="20"/>
          <w:szCs w:val="20"/>
          <w:lang w:val="en-US"/>
        </w:rPr>
        <w:t>31</w:t>
      </w:r>
      <w:r>
        <w:rPr>
          <w:rStyle w:val="Strong"/>
          <w:rFonts w:ascii="Tahoma" w:hAnsi="Tahoma" w:cs="Tahoma"/>
          <w:b w:val="0"/>
          <w:sz w:val="20"/>
          <w:szCs w:val="20"/>
          <w:lang w:val="en-US"/>
        </w:rPr>
        <w:t xml:space="preserve"> to cover lunches, snacks and drinks has been set.</w:t>
      </w:r>
    </w:p>
    <w:p w:rsidR="00472912" w:rsidRPr="00472912" w:rsidRDefault="00472912" w:rsidP="007F1101">
      <w:pPr>
        <w:pStyle w:val="NormalWeb"/>
        <w:rPr>
          <w:rStyle w:val="Strong"/>
          <w:rFonts w:ascii="Tahoma" w:hAnsi="Tahoma" w:cs="Tahoma"/>
          <w:b w:val="0"/>
          <w:sz w:val="20"/>
          <w:szCs w:val="20"/>
          <w:lang w:val="en-US"/>
        </w:rPr>
      </w:pPr>
    </w:p>
    <w:p w:rsidR="007F1101" w:rsidRDefault="007F1101" w:rsidP="007F1101">
      <w:pPr>
        <w:pStyle w:val="NormalWeb"/>
        <w:rPr>
          <w:rFonts w:ascii="Tahoma" w:hAnsi="Tahoma" w:cs="Tahoma"/>
          <w:color w:val="1F497D"/>
          <w:sz w:val="22"/>
          <w:szCs w:val="22"/>
          <w:lang w:val="en-US"/>
        </w:rPr>
      </w:pPr>
    </w:p>
    <w:p w:rsidR="00394A47" w:rsidRPr="001934A5" w:rsidRDefault="00394A47" w:rsidP="00394A47">
      <w:pPr>
        <w:pStyle w:val="NormalWeb"/>
        <w:rPr>
          <w:rStyle w:val="Strong"/>
          <w:rFonts w:ascii="Tahoma" w:hAnsi="Tahoma" w:cs="Tahoma"/>
        </w:rPr>
      </w:pPr>
      <w:r>
        <w:rPr>
          <w:rStyle w:val="Strong"/>
          <w:rFonts w:ascii="Tahoma" w:hAnsi="Tahoma" w:cs="Tahoma"/>
          <w:lang w:val="en-US"/>
        </w:rPr>
        <w:t>Laundry &amp; Clothing</w:t>
      </w:r>
    </w:p>
    <w:p w:rsidR="00394A47" w:rsidRDefault="00394A47" w:rsidP="00394A47">
      <w:pPr>
        <w:pStyle w:val="NormalWeb"/>
        <w:rPr>
          <w:rStyle w:val="Strong"/>
          <w:rFonts w:ascii="Tahoma" w:hAnsi="Tahoma" w:cs="Tahoma"/>
          <w:b w:val="0"/>
          <w:sz w:val="20"/>
          <w:szCs w:val="20"/>
          <w:lang w:val="en-US"/>
        </w:rPr>
      </w:pPr>
      <w:r w:rsidRPr="00472912">
        <w:rPr>
          <w:rStyle w:val="Strong"/>
          <w:rFonts w:ascii="Tahoma" w:hAnsi="Tahoma" w:cs="Tahoma"/>
          <w:b w:val="0"/>
          <w:sz w:val="20"/>
          <w:szCs w:val="20"/>
          <w:lang w:val="en-US"/>
        </w:rPr>
        <w:t xml:space="preserve">There is a </w:t>
      </w:r>
      <w:r>
        <w:rPr>
          <w:rStyle w:val="Strong"/>
          <w:rFonts w:ascii="Tahoma" w:hAnsi="Tahoma" w:cs="Tahoma"/>
          <w:b w:val="0"/>
          <w:sz w:val="20"/>
          <w:szCs w:val="20"/>
          <w:lang w:val="en-US"/>
        </w:rPr>
        <w:t>budget of £1</w:t>
      </w:r>
      <w:r w:rsidR="00860405">
        <w:rPr>
          <w:rStyle w:val="Strong"/>
          <w:rFonts w:ascii="Tahoma" w:hAnsi="Tahoma" w:cs="Tahoma"/>
          <w:b w:val="0"/>
          <w:sz w:val="20"/>
          <w:szCs w:val="20"/>
          <w:lang w:val="en-US"/>
        </w:rPr>
        <w:t>1</w:t>
      </w:r>
      <w:r>
        <w:rPr>
          <w:rStyle w:val="Strong"/>
          <w:rFonts w:ascii="Tahoma" w:hAnsi="Tahoma" w:cs="Tahoma"/>
          <w:b w:val="0"/>
          <w:sz w:val="20"/>
          <w:szCs w:val="20"/>
          <w:lang w:val="en-US"/>
        </w:rPr>
        <w:t xml:space="preserve"> per week.</w:t>
      </w:r>
    </w:p>
    <w:p w:rsidR="00394A47" w:rsidRPr="00472912" w:rsidRDefault="00394A47" w:rsidP="00394A47">
      <w:pPr>
        <w:pStyle w:val="NormalWeb"/>
        <w:rPr>
          <w:rStyle w:val="Strong"/>
          <w:rFonts w:ascii="Tahoma" w:hAnsi="Tahoma" w:cs="Tahoma"/>
          <w:b w:val="0"/>
          <w:sz w:val="20"/>
          <w:szCs w:val="20"/>
          <w:lang w:val="en-US"/>
        </w:rPr>
      </w:pPr>
    </w:p>
    <w:p w:rsidR="00394A47" w:rsidRPr="007F1101" w:rsidRDefault="00394A47" w:rsidP="007F1101">
      <w:pPr>
        <w:pStyle w:val="NormalWeb"/>
        <w:rPr>
          <w:rFonts w:ascii="Tahoma" w:hAnsi="Tahoma" w:cs="Tahoma"/>
          <w:color w:val="1F497D"/>
          <w:sz w:val="22"/>
          <w:szCs w:val="22"/>
          <w:lang w:val="en-US"/>
        </w:rPr>
      </w:pPr>
    </w:p>
    <w:p w:rsidR="004C70E2" w:rsidRPr="007F1101" w:rsidRDefault="004C70E2" w:rsidP="004C70E2">
      <w:pPr>
        <w:pStyle w:val="NormalWeb"/>
        <w:rPr>
          <w:rFonts w:ascii="Tahoma" w:hAnsi="Tahoma" w:cs="Tahoma"/>
          <w:color w:val="000000"/>
          <w:sz w:val="20"/>
          <w:szCs w:val="20"/>
          <w:lang w:val="en-US"/>
        </w:rPr>
      </w:pPr>
      <w:r>
        <w:rPr>
          <w:rStyle w:val="Strong"/>
          <w:rFonts w:ascii="Tahoma" w:hAnsi="Tahoma" w:cs="Tahoma"/>
          <w:color w:val="000000"/>
          <w:lang w:val="en-US"/>
        </w:rPr>
        <w:t>Travel</w:t>
      </w:r>
    </w:p>
    <w:p w:rsidR="004C70E2" w:rsidRDefault="004C70E2" w:rsidP="004C70E2">
      <w:pPr>
        <w:pStyle w:val="NormalWeb"/>
        <w:rPr>
          <w:rFonts w:ascii="Tahoma" w:hAnsi="Tahoma" w:cs="Tahoma"/>
          <w:color w:val="000000"/>
          <w:sz w:val="20"/>
          <w:szCs w:val="20"/>
          <w:lang w:val="en-US"/>
        </w:rPr>
      </w:pPr>
      <w:r w:rsidRPr="007F1101">
        <w:rPr>
          <w:rFonts w:ascii="Tahoma" w:hAnsi="Tahoma" w:cs="Tahoma"/>
          <w:color w:val="000000"/>
          <w:sz w:val="20"/>
          <w:szCs w:val="20"/>
          <w:lang w:val="en-US"/>
        </w:rPr>
        <w:t> </w:t>
      </w:r>
    </w:p>
    <w:p w:rsidR="004C70E2" w:rsidRDefault="004C70E2" w:rsidP="004C70E2">
      <w:pPr>
        <w:pStyle w:val="NormalWeb"/>
        <w:rPr>
          <w:rFonts w:ascii="Tahoma" w:eastAsia="Times New Roman" w:hAnsi="Tahoma" w:cs="Tahoma"/>
          <w:color w:val="000000"/>
          <w:sz w:val="20"/>
          <w:szCs w:val="20"/>
        </w:rPr>
      </w:pPr>
      <w:r>
        <w:rPr>
          <w:rFonts w:ascii="Tahoma" w:eastAsia="Times New Roman" w:hAnsi="Tahoma" w:cs="Tahoma"/>
          <w:color w:val="000000"/>
          <w:sz w:val="20"/>
          <w:szCs w:val="20"/>
        </w:rPr>
        <w:t>Students studying at Camden have a travel allowance of £2</w:t>
      </w:r>
      <w:r w:rsidR="00BD449F">
        <w:rPr>
          <w:rFonts w:ascii="Tahoma" w:eastAsia="Times New Roman" w:hAnsi="Tahoma" w:cs="Tahoma"/>
          <w:color w:val="000000"/>
          <w:sz w:val="20"/>
          <w:szCs w:val="20"/>
        </w:rPr>
        <w:t>5</w:t>
      </w:r>
      <w:r>
        <w:rPr>
          <w:rFonts w:ascii="Tahoma" w:eastAsia="Times New Roman" w:hAnsi="Tahoma" w:cs="Tahoma"/>
          <w:color w:val="000000"/>
          <w:sz w:val="20"/>
          <w:szCs w:val="20"/>
        </w:rPr>
        <w:t xml:space="preserve"> per week. This will cover the cost of a Student Zone 1-2 Weekly Travelcard, which includes all tube and most train services within zones 1 and</w:t>
      </w:r>
      <w:r w:rsidR="001D2B31">
        <w:rPr>
          <w:rFonts w:ascii="Tahoma" w:eastAsia="Times New Roman" w:hAnsi="Tahoma" w:cs="Tahoma"/>
          <w:color w:val="000000"/>
          <w:sz w:val="20"/>
          <w:szCs w:val="20"/>
        </w:rPr>
        <w:t xml:space="preserve"> 2, plus all bus journeys</w:t>
      </w:r>
      <w:r>
        <w:rPr>
          <w:rFonts w:ascii="Tahoma" w:eastAsia="Times New Roman" w:hAnsi="Tahoma" w:cs="Tahoma"/>
          <w:color w:val="000000"/>
          <w:sz w:val="20"/>
          <w:szCs w:val="20"/>
        </w:rPr>
        <w:t xml:space="preserve">. Camden is in Zone 2. A </w:t>
      </w:r>
      <w:hyperlink r:id="rId8" w:history="1">
        <w:r w:rsidRPr="001F3D82">
          <w:rPr>
            <w:rStyle w:val="Hyperlink"/>
            <w:rFonts w:ascii="Tahoma" w:eastAsia="Times New Roman" w:hAnsi="Tahoma" w:cs="Tahoma"/>
            <w:sz w:val="20"/>
            <w:szCs w:val="20"/>
          </w:rPr>
          <w:t>zone 2 Student Weekly Travelcard</w:t>
        </w:r>
      </w:hyperlink>
      <w:r>
        <w:rPr>
          <w:rFonts w:ascii="Tahoma" w:eastAsia="Times New Roman" w:hAnsi="Tahoma" w:cs="Tahoma"/>
          <w:color w:val="000000"/>
          <w:sz w:val="20"/>
          <w:szCs w:val="20"/>
        </w:rPr>
        <w:t xml:space="preserve"> is £</w:t>
      </w:r>
      <w:r w:rsidR="001F3D82">
        <w:rPr>
          <w:rFonts w:ascii="Tahoma" w:eastAsia="Times New Roman" w:hAnsi="Tahoma" w:cs="Tahoma"/>
          <w:color w:val="000000"/>
          <w:sz w:val="20"/>
          <w:szCs w:val="20"/>
        </w:rPr>
        <w:t>24.50</w:t>
      </w:r>
      <w:r>
        <w:rPr>
          <w:rFonts w:ascii="Tahoma" w:eastAsia="Times New Roman" w:hAnsi="Tahoma" w:cs="Tahoma"/>
          <w:color w:val="000000"/>
          <w:sz w:val="20"/>
          <w:szCs w:val="20"/>
        </w:rPr>
        <w:t>. Many students will spend less on travel by walking or cycling to college.</w:t>
      </w:r>
    </w:p>
    <w:p w:rsidR="004C70E2" w:rsidRDefault="004C70E2" w:rsidP="004C70E2">
      <w:pPr>
        <w:pStyle w:val="NormalWeb"/>
        <w:rPr>
          <w:rFonts w:ascii="Tahoma" w:eastAsia="Times New Roman" w:hAnsi="Tahoma" w:cs="Tahoma"/>
          <w:color w:val="000000"/>
          <w:sz w:val="20"/>
          <w:szCs w:val="20"/>
        </w:rPr>
      </w:pPr>
    </w:p>
    <w:p w:rsidR="004C70E2" w:rsidRDefault="004C70E2" w:rsidP="004C70E2">
      <w:pPr>
        <w:pStyle w:val="NormalWeb"/>
        <w:rPr>
          <w:rFonts w:ascii="Tahoma" w:eastAsia="Times New Roman" w:hAnsi="Tahoma" w:cs="Tahoma"/>
          <w:color w:val="000000"/>
          <w:sz w:val="20"/>
          <w:szCs w:val="20"/>
        </w:rPr>
      </w:pPr>
      <w:r>
        <w:rPr>
          <w:rFonts w:ascii="Tahoma" w:eastAsia="Times New Roman" w:hAnsi="Tahoma" w:cs="Tahoma"/>
          <w:color w:val="000000"/>
          <w:sz w:val="20"/>
          <w:szCs w:val="20"/>
        </w:rPr>
        <w:t>Students studying at Hawkshead have a travel allowance of £3</w:t>
      </w:r>
      <w:r w:rsidR="001F3D82">
        <w:rPr>
          <w:rFonts w:ascii="Tahoma" w:eastAsia="Times New Roman" w:hAnsi="Tahoma" w:cs="Tahoma"/>
          <w:color w:val="000000"/>
          <w:sz w:val="20"/>
          <w:szCs w:val="20"/>
        </w:rPr>
        <w:t>9</w:t>
      </w:r>
      <w:r>
        <w:rPr>
          <w:rFonts w:ascii="Tahoma" w:eastAsia="Times New Roman" w:hAnsi="Tahoma" w:cs="Tahoma"/>
          <w:color w:val="000000"/>
          <w:sz w:val="20"/>
          <w:szCs w:val="20"/>
        </w:rPr>
        <w:t xml:space="preserve"> per week. This will cover train costs if commuting in from Welwyn Garden City, St. Albans, Hatfield, etc to Hawkshead campus plus other travel (e.g. return train journey into London). Students living in Potters Bar can use the college free shuttle service from Potters Bart Station to the campus.</w:t>
      </w:r>
    </w:p>
    <w:p w:rsidR="004C70E2" w:rsidRDefault="004C70E2" w:rsidP="004C70E2">
      <w:pPr>
        <w:pStyle w:val="NormalWeb"/>
        <w:rPr>
          <w:rFonts w:ascii="Tahoma" w:eastAsia="Times New Roman" w:hAnsi="Tahoma" w:cs="Tahoma"/>
          <w:color w:val="000000"/>
          <w:sz w:val="20"/>
          <w:szCs w:val="20"/>
        </w:rPr>
      </w:pPr>
    </w:p>
    <w:p w:rsidR="00F07833" w:rsidRDefault="00F07833" w:rsidP="00030DC8">
      <w:pPr>
        <w:pStyle w:val="NormalWeb"/>
        <w:rPr>
          <w:rStyle w:val="Strong"/>
          <w:rFonts w:ascii="Tahoma" w:hAnsi="Tahoma" w:cs="Tahoma"/>
          <w:color w:val="000000"/>
          <w:lang w:val="en-US"/>
        </w:rPr>
      </w:pPr>
    </w:p>
    <w:p w:rsidR="00030DC8" w:rsidRPr="007F1101" w:rsidRDefault="00030DC8" w:rsidP="00030DC8">
      <w:pPr>
        <w:pStyle w:val="NormalWeb"/>
        <w:rPr>
          <w:rFonts w:ascii="Tahoma" w:hAnsi="Tahoma" w:cs="Tahoma"/>
          <w:color w:val="000000"/>
          <w:sz w:val="20"/>
          <w:szCs w:val="20"/>
          <w:lang w:val="en-US"/>
        </w:rPr>
      </w:pPr>
      <w:r>
        <w:rPr>
          <w:rStyle w:val="Strong"/>
          <w:rFonts w:ascii="Tahoma" w:hAnsi="Tahoma" w:cs="Tahoma"/>
          <w:color w:val="000000"/>
          <w:lang w:val="en-US"/>
        </w:rPr>
        <w:t>Internet &amp; Phone</w:t>
      </w:r>
    </w:p>
    <w:p w:rsidR="00030DC8" w:rsidRDefault="00030DC8" w:rsidP="00030DC8">
      <w:pPr>
        <w:pStyle w:val="NormalWeb"/>
        <w:rPr>
          <w:rFonts w:ascii="Tahoma" w:hAnsi="Tahoma" w:cs="Tahoma"/>
          <w:color w:val="000000"/>
          <w:sz w:val="20"/>
          <w:szCs w:val="20"/>
          <w:lang w:val="en-US"/>
        </w:rPr>
      </w:pPr>
      <w:r w:rsidRPr="007F1101">
        <w:rPr>
          <w:rFonts w:ascii="Tahoma" w:hAnsi="Tahoma" w:cs="Tahoma"/>
          <w:color w:val="000000"/>
          <w:sz w:val="20"/>
          <w:szCs w:val="20"/>
          <w:lang w:val="en-US"/>
        </w:rPr>
        <w:t> </w:t>
      </w:r>
    </w:p>
    <w:p w:rsidR="00030DC8" w:rsidRDefault="00030DC8" w:rsidP="00CD2C34">
      <w:pPr>
        <w:pStyle w:val="NormalWeb"/>
        <w:rPr>
          <w:rFonts w:ascii="Tahoma" w:eastAsia="Times New Roman" w:hAnsi="Tahoma" w:cs="Tahoma"/>
          <w:color w:val="000000"/>
          <w:sz w:val="20"/>
          <w:szCs w:val="20"/>
        </w:rPr>
      </w:pPr>
      <w:r>
        <w:rPr>
          <w:rFonts w:ascii="Tahoma" w:eastAsia="Times New Roman" w:hAnsi="Tahoma" w:cs="Tahoma"/>
          <w:color w:val="000000"/>
          <w:sz w:val="20"/>
          <w:szCs w:val="20"/>
        </w:rPr>
        <w:t>Students in private accommodation will requi</w:t>
      </w:r>
      <w:r w:rsidR="00CD2C34">
        <w:rPr>
          <w:rFonts w:ascii="Tahoma" w:eastAsia="Times New Roman" w:hAnsi="Tahoma" w:cs="Tahoma"/>
          <w:color w:val="000000"/>
          <w:sz w:val="20"/>
          <w:szCs w:val="20"/>
        </w:rPr>
        <w:t>re broadband and landline phone, plus mobile phone. Allowance is £1</w:t>
      </w:r>
      <w:r w:rsidR="001F3D82">
        <w:rPr>
          <w:rFonts w:ascii="Tahoma" w:eastAsia="Times New Roman" w:hAnsi="Tahoma" w:cs="Tahoma"/>
          <w:color w:val="000000"/>
          <w:sz w:val="20"/>
          <w:szCs w:val="20"/>
        </w:rPr>
        <w:t>2</w:t>
      </w:r>
      <w:r w:rsidR="00CD2C34">
        <w:rPr>
          <w:rFonts w:ascii="Tahoma" w:eastAsia="Times New Roman" w:hAnsi="Tahoma" w:cs="Tahoma"/>
          <w:color w:val="000000"/>
          <w:sz w:val="20"/>
          <w:szCs w:val="20"/>
        </w:rPr>
        <w:t>.00 per week.</w:t>
      </w:r>
      <w:r>
        <w:rPr>
          <w:rFonts w:ascii="Tahoma" w:eastAsia="Times New Roman" w:hAnsi="Tahoma" w:cs="Tahoma"/>
          <w:color w:val="000000"/>
          <w:sz w:val="20"/>
          <w:szCs w:val="20"/>
        </w:rPr>
        <w:t xml:space="preserve"> </w:t>
      </w:r>
    </w:p>
    <w:p w:rsidR="00CD2C34" w:rsidRDefault="00CD2C34" w:rsidP="00CD2C34">
      <w:pPr>
        <w:pStyle w:val="NormalWeb"/>
        <w:rPr>
          <w:rFonts w:ascii="Tahoma" w:eastAsia="Times New Roman" w:hAnsi="Tahoma" w:cs="Tahoma"/>
          <w:color w:val="000000"/>
          <w:sz w:val="20"/>
          <w:szCs w:val="20"/>
        </w:rPr>
      </w:pPr>
      <w:r>
        <w:rPr>
          <w:rFonts w:ascii="Tahoma" w:eastAsia="Times New Roman" w:hAnsi="Tahoma" w:cs="Tahoma"/>
          <w:color w:val="000000"/>
          <w:sz w:val="20"/>
          <w:szCs w:val="20"/>
        </w:rPr>
        <w:t>Students in halls will require mobile phone. Allowance is £</w:t>
      </w:r>
      <w:r w:rsidR="001F3D82">
        <w:rPr>
          <w:rFonts w:ascii="Tahoma" w:eastAsia="Times New Roman" w:hAnsi="Tahoma" w:cs="Tahoma"/>
          <w:color w:val="000000"/>
          <w:sz w:val="20"/>
          <w:szCs w:val="20"/>
        </w:rPr>
        <w:t>9 per week.</w:t>
      </w:r>
    </w:p>
    <w:p w:rsidR="00030DC8" w:rsidRDefault="00030DC8" w:rsidP="00030DC8">
      <w:pPr>
        <w:pStyle w:val="NormalWeb"/>
        <w:rPr>
          <w:rFonts w:ascii="Tahoma" w:eastAsia="Times New Roman" w:hAnsi="Tahoma" w:cs="Tahoma"/>
          <w:color w:val="000000"/>
          <w:sz w:val="20"/>
          <w:szCs w:val="20"/>
        </w:rPr>
      </w:pPr>
    </w:p>
    <w:p w:rsidR="00030DC8" w:rsidRDefault="00030DC8" w:rsidP="004C70E2">
      <w:pPr>
        <w:pStyle w:val="NormalWeb"/>
        <w:rPr>
          <w:rFonts w:ascii="Tahoma" w:eastAsia="Times New Roman" w:hAnsi="Tahoma" w:cs="Tahoma"/>
          <w:color w:val="000000"/>
          <w:sz w:val="20"/>
          <w:szCs w:val="20"/>
        </w:rPr>
      </w:pPr>
    </w:p>
    <w:p w:rsidR="00030DC8" w:rsidRPr="007F1101" w:rsidRDefault="00030DC8" w:rsidP="00030DC8">
      <w:pPr>
        <w:pStyle w:val="NormalWeb"/>
        <w:rPr>
          <w:rFonts w:ascii="Tahoma" w:hAnsi="Tahoma" w:cs="Tahoma"/>
          <w:color w:val="000000"/>
          <w:sz w:val="20"/>
          <w:szCs w:val="20"/>
          <w:lang w:val="en-US"/>
        </w:rPr>
      </w:pPr>
      <w:r>
        <w:rPr>
          <w:rStyle w:val="Strong"/>
          <w:rFonts w:ascii="Tahoma" w:hAnsi="Tahoma" w:cs="Tahoma"/>
          <w:color w:val="000000"/>
          <w:lang w:val="en-US"/>
        </w:rPr>
        <w:lastRenderedPageBreak/>
        <w:t>Entertainment</w:t>
      </w:r>
    </w:p>
    <w:p w:rsidR="00030DC8" w:rsidRDefault="00030DC8" w:rsidP="00030DC8">
      <w:pPr>
        <w:pStyle w:val="NormalWeb"/>
        <w:rPr>
          <w:rFonts w:ascii="Tahoma" w:hAnsi="Tahoma" w:cs="Tahoma"/>
          <w:color w:val="000000"/>
          <w:sz w:val="20"/>
          <w:szCs w:val="20"/>
          <w:lang w:val="en-US"/>
        </w:rPr>
      </w:pPr>
      <w:r w:rsidRPr="007F1101">
        <w:rPr>
          <w:rFonts w:ascii="Tahoma" w:hAnsi="Tahoma" w:cs="Tahoma"/>
          <w:color w:val="000000"/>
          <w:sz w:val="20"/>
          <w:szCs w:val="20"/>
          <w:lang w:val="en-US"/>
        </w:rPr>
        <w:t> </w:t>
      </w:r>
    </w:p>
    <w:p w:rsidR="00030DC8" w:rsidRDefault="00DB24CD" w:rsidP="00030DC8">
      <w:pPr>
        <w:pStyle w:val="NormalWeb"/>
        <w:rPr>
          <w:rFonts w:ascii="Tahoma" w:eastAsia="Times New Roman" w:hAnsi="Tahoma" w:cs="Tahoma"/>
          <w:color w:val="000000"/>
          <w:sz w:val="20"/>
          <w:szCs w:val="20"/>
        </w:rPr>
      </w:pPr>
      <w:r>
        <w:rPr>
          <w:rFonts w:ascii="Tahoma" w:eastAsia="Times New Roman" w:hAnsi="Tahoma" w:cs="Tahoma"/>
          <w:color w:val="000000"/>
          <w:sz w:val="20"/>
          <w:szCs w:val="20"/>
        </w:rPr>
        <w:t>All students get a £71</w:t>
      </w:r>
      <w:r w:rsidR="00030DC8">
        <w:rPr>
          <w:rFonts w:ascii="Tahoma" w:eastAsia="Times New Roman" w:hAnsi="Tahoma" w:cs="Tahoma"/>
          <w:color w:val="000000"/>
          <w:sz w:val="20"/>
          <w:szCs w:val="20"/>
        </w:rPr>
        <w:t xml:space="preserve"> weekly entertainment allowance</w:t>
      </w:r>
      <w:r>
        <w:rPr>
          <w:rFonts w:ascii="Tahoma" w:eastAsia="Times New Roman" w:hAnsi="Tahoma" w:cs="Tahoma"/>
          <w:color w:val="000000"/>
          <w:sz w:val="20"/>
          <w:szCs w:val="20"/>
        </w:rPr>
        <w:t>, freshers get an additional £121</w:t>
      </w:r>
      <w:r w:rsidR="00030DC8">
        <w:rPr>
          <w:rFonts w:ascii="Tahoma" w:eastAsia="Times New Roman" w:hAnsi="Tahoma" w:cs="Tahoma"/>
          <w:color w:val="000000"/>
          <w:sz w:val="20"/>
          <w:szCs w:val="20"/>
        </w:rPr>
        <w:t>.</w:t>
      </w:r>
    </w:p>
    <w:p w:rsidR="00030DC8" w:rsidRDefault="00030DC8" w:rsidP="00030DC8">
      <w:pPr>
        <w:pStyle w:val="NormalWeb"/>
        <w:rPr>
          <w:rFonts w:ascii="Tahoma" w:eastAsia="Times New Roman" w:hAnsi="Tahoma" w:cs="Tahoma"/>
          <w:color w:val="000000"/>
          <w:sz w:val="20"/>
          <w:szCs w:val="20"/>
        </w:rPr>
      </w:pPr>
    </w:p>
    <w:p w:rsidR="004C70E2" w:rsidRDefault="004C70E2" w:rsidP="004C70E2">
      <w:pPr>
        <w:pStyle w:val="NormalWeb"/>
        <w:rPr>
          <w:rFonts w:ascii="Tahoma" w:eastAsia="Times New Roman" w:hAnsi="Tahoma" w:cs="Tahoma"/>
          <w:color w:val="000000"/>
          <w:sz w:val="20"/>
          <w:szCs w:val="20"/>
        </w:rPr>
      </w:pPr>
    </w:p>
    <w:p w:rsidR="00B301B2" w:rsidRDefault="00B301B2" w:rsidP="001934A5">
      <w:pPr>
        <w:pStyle w:val="NormalWeb"/>
        <w:rPr>
          <w:rStyle w:val="Strong"/>
          <w:rFonts w:ascii="Tahoma" w:hAnsi="Tahoma" w:cs="Tahoma"/>
          <w:lang w:val="en-US"/>
        </w:rPr>
      </w:pPr>
    </w:p>
    <w:p w:rsidR="00B301B2" w:rsidRDefault="00B301B2" w:rsidP="001934A5">
      <w:pPr>
        <w:pStyle w:val="NormalWeb"/>
        <w:rPr>
          <w:rStyle w:val="Strong"/>
          <w:rFonts w:ascii="Tahoma" w:hAnsi="Tahoma" w:cs="Tahoma"/>
          <w:lang w:val="en-US"/>
        </w:rPr>
      </w:pPr>
    </w:p>
    <w:p w:rsidR="00B301B2" w:rsidRDefault="00B301B2" w:rsidP="001934A5">
      <w:pPr>
        <w:pStyle w:val="NormalWeb"/>
        <w:rPr>
          <w:rStyle w:val="Strong"/>
          <w:rFonts w:ascii="Tahoma" w:hAnsi="Tahoma" w:cs="Tahoma"/>
          <w:lang w:val="en-US"/>
        </w:rPr>
      </w:pPr>
    </w:p>
    <w:p w:rsidR="001934A5" w:rsidRPr="001934A5" w:rsidRDefault="001934A5" w:rsidP="001934A5">
      <w:pPr>
        <w:pStyle w:val="NormalWeb"/>
        <w:rPr>
          <w:rStyle w:val="Strong"/>
          <w:rFonts w:ascii="Tahoma" w:hAnsi="Tahoma" w:cs="Tahoma"/>
        </w:rPr>
      </w:pPr>
      <w:r w:rsidRPr="001934A5">
        <w:rPr>
          <w:rStyle w:val="Strong"/>
          <w:rFonts w:ascii="Tahoma" w:hAnsi="Tahoma" w:cs="Tahoma"/>
          <w:lang w:val="en-US"/>
        </w:rPr>
        <w:t>Visa Costs</w:t>
      </w:r>
    </w:p>
    <w:p w:rsidR="001934A5" w:rsidRDefault="001934A5" w:rsidP="001934A5">
      <w:pPr>
        <w:pStyle w:val="NoSpacing"/>
        <w:rPr>
          <w:rFonts w:ascii="Tahoma" w:hAnsi="Tahoma" w:cs="Tahoma"/>
          <w:sz w:val="20"/>
          <w:szCs w:val="20"/>
          <w:lang w:val="en-US"/>
        </w:rPr>
      </w:pPr>
      <w:r w:rsidRPr="001934A5">
        <w:rPr>
          <w:rFonts w:ascii="Tahoma" w:hAnsi="Tahoma" w:cs="Tahoma"/>
          <w:sz w:val="20"/>
          <w:szCs w:val="20"/>
          <w:lang w:val="en-US"/>
        </w:rPr>
        <w:t>You can claim up to £</w:t>
      </w:r>
      <w:r w:rsidR="008B7A37">
        <w:rPr>
          <w:rFonts w:ascii="Tahoma" w:hAnsi="Tahoma" w:cs="Tahoma"/>
          <w:sz w:val="20"/>
          <w:szCs w:val="20"/>
          <w:lang w:val="en-US"/>
        </w:rPr>
        <w:t>3</w:t>
      </w:r>
      <w:r w:rsidR="003A7E55">
        <w:rPr>
          <w:rFonts w:ascii="Tahoma" w:hAnsi="Tahoma" w:cs="Tahoma"/>
          <w:sz w:val="20"/>
          <w:szCs w:val="20"/>
          <w:lang w:val="en-US"/>
        </w:rPr>
        <w:t>48</w:t>
      </w:r>
      <w:r w:rsidRPr="001934A5">
        <w:rPr>
          <w:rFonts w:ascii="Tahoma" w:hAnsi="Tahoma" w:cs="Tahoma"/>
          <w:sz w:val="20"/>
          <w:szCs w:val="20"/>
          <w:lang w:val="en-US"/>
        </w:rPr>
        <w:t xml:space="preserve"> for Visa costs</w:t>
      </w:r>
      <w:r w:rsidR="00E208BE">
        <w:rPr>
          <w:rFonts w:ascii="Tahoma" w:hAnsi="Tahoma" w:cs="Tahoma"/>
          <w:sz w:val="20"/>
          <w:szCs w:val="20"/>
          <w:lang w:val="en-US"/>
        </w:rPr>
        <w:t xml:space="preserve"> plus the Immigration Health Surcharge,</w:t>
      </w:r>
      <w:r w:rsidRPr="001934A5">
        <w:rPr>
          <w:rFonts w:ascii="Tahoma" w:hAnsi="Tahoma" w:cs="Tahoma"/>
          <w:sz w:val="20"/>
          <w:szCs w:val="20"/>
          <w:lang w:val="en-US"/>
        </w:rPr>
        <w:t xml:space="preserve"> if you are a new student</w:t>
      </w:r>
      <w:r w:rsidR="00AC495A">
        <w:rPr>
          <w:rFonts w:ascii="Tahoma" w:hAnsi="Tahoma" w:cs="Tahoma"/>
          <w:sz w:val="20"/>
          <w:szCs w:val="20"/>
          <w:lang w:val="en-US"/>
        </w:rPr>
        <w:t>, or need to apply for an extension in the final year</w:t>
      </w:r>
      <w:r w:rsidRPr="001934A5">
        <w:rPr>
          <w:rFonts w:ascii="Tahoma" w:hAnsi="Tahoma" w:cs="Tahoma"/>
          <w:sz w:val="20"/>
          <w:szCs w:val="20"/>
          <w:lang w:val="en-US"/>
        </w:rPr>
        <w:t>.</w:t>
      </w:r>
    </w:p>
    <w:p w:rsidR="00E208BE" w:rsidRDefault="00E208BE" w:rsidP="001934A5">
      <w:pPr>
        <w:pStyle w:val="NoSpacing"/>
        <w:rPr>
          <w:rFonts w:ascii="Tahoma" w:hAnsi="Tahoma" w:cs="Tahoma"/>
          <w:sz w:val="20"/>
          <w:szCs w:val="20"/>
          <w:lang w:val="en-US"/>
        </w:rPr>
      </w:pPr>
    </w:p>
    <w:p w:rsidR="003A7E55" w:rsidRDefault="003A7E55" w:rsidP="001934A5">
      <w:pPr>
        <w:pStyle w:val="NoSpacing"/>
        <w:rPr>
          <w:rFonts w:ascii="Tahoma" w:hAnsi="Tahoma" w:cs="Tahoma"/>
          <w:sz w:val="20"/>
          <w:szCs w:val="20"/>
        </w:rPr>
      </w:pPr>
      <w:r>
        <w:rPr>
          <w:rFonts w:ascii="Tahoma" w:hAnsi="Tahoma" w:cs="Tahoma"/>
          <w:sz w:val="20"/>
          <w:szCs w:val="20"/>
        </w:rPr>
        <w:t>Charges vary according to individual circumstances, but the following allowance is available</w:t>
      </w:r>
    </w:p>
    <w:p w:rsidR="003A7E55" w:rsidRDefault="003A7E55" w:rsidP="001934A5">
      <w:pPr>
        <w:pStyle w:val="NoSpacing"/>
        <w:rPr>
          <w:rFonts w:ascii="Tahoma" w:hAnsi="Tahoma" w:cs="Tahoma"/>
          <w:sz w:val="20"/>
          <w:szCs w:val="20"/>
        </w:rPr>
      </w:pPr>
    </w:p>
    <w:p w:rsidR="003A7E55" w:rsidRDefault="003A7E55" w:rsidP="001934A5">
      <w:pPr>
        <w:pStyle w:val="NoSpacing"/>
        <w:rPr>
          <w:rFonts w:ascii="Tahoma" w:hAnsi="Tahoma" w:cs="Tahoma"/>
          <w:sz w:val="20"/>
          <w:szCs w:val="20"/>
        </w:rPr>
      </w:pPr>
      <w:r>
        <w:rPr>
          <w:rFonts w:ascii="Tahoma" w:hAnsi="Tahoma" w:cs="Tahoma"/>
          <w:sz w:val="20"/>
          <w:szCs w:val="20"/>
        </w:rPr>
        <w:t>4 Year BVetMed: £1,350</w:t>
      </w:r>
    </w:p>
    <w:p w:rsidR="003A7E55" w:rsidRDefault="003A7E55" w:rsidP="001934A5">
      <w:pPr>
        <w:pStyle w:val="NoSpacing"/>
        <w:rPr>
          <w:rFonts w:ascii="Tahoma" w:hAnsi="Tahoma" w:cs="Tahoma"/>
          <w:sz w:val="20"/>
          <w:szCs w:val="20"/>
        </w:rPr>
      </w:pPr>
      <w:r>
        <w:rPr>
          <w:rFonts w:ascii="Tahoma" w:hAnsi="Tahoma" w:cs="Tahoma"/>
          <w:sz w:val="20"/>
          <w:szCs w:val="20"/>
        </w:rPr>
        <w:t>5 Year BVetMed: £1,650</w:t>
      </w:r>
    </w:p>
    <w:p w:rsidR="003A7E55" w:rsidRDefault="003A7E55" w:rsidP="001934A5">
      <w:pPr>
        <w:pStyle w:val="NoSpacing"/>
        <w:rPr>
          <w:rFonts w:ascii="Tahoma" w:hAnsi="Tahoma" w:cs="Tahoma"/>
          <w:sz w:val="20"/>
          <w:szCs w:val="20"/>
        </w:rPr>
      </w:pPr>
      <w:r>
        <w:rPr>
          <w:rFonts w:ascii="Tahoma" w:hAnsi="Tahoma" w:cs="Tahoma"/>
          <w:sz w:val="20"/>
          <w:szCs w:val="20"/>
        </w:rPr>
        <w:t>3 Year BSc: 1,050</w:t>
      </w:r>
    </w:p>
    <w:p w:rsidR="003A7E55" w:rsidRDefault="003A7E55" w:rsidP="001934A5">
      <w:pPr>
        <w:pStyle w:val="NoSpacing"/>
        <w:rPr>
          <w:rFonts w:ascii="Tahoma" w:hAnsi="Tahoma" w:cs="Tahoma"/>
          <w:sz w:val="20"/>
          <w:szCs w:val="20"/>
        </w:rPr>
      </w:pPr>
      <w:r>
        <w:rPr>
          <w:rFonts w:ascii="Tahoma" w:hAnsi="Tahoma" w:cs="Tahoma"/>
          <w:sz w:val="20"/>
          <w:szCs w:val="20"/>
        </w:rPr>
        <w:t>1 Year MSc: £650</w:t>
      </w:r>
    </w:p>
    <w:p w:rsidR="003A7E55" w:rsidRDefault="003A7E55" w:rsidP="001934A5">
      <w:pPr>
        <w:pStyle w:val="NoSpacing"/>
        <w:rPr>
          <w:rFonts w:ascii="Tahoma" w:hAnsi="Tahoma" w:cs="Tahoma"/>
          <w:sz w:val="20"/>
          <w:szCs w:val="20"/>
        </w:rPr>
      </w:pPr>
    </w:p>
    <w:p w:rsidR="00E208BE" w:rsidRPr="001934A5" w:rsidRDefault="00F07833" w:rsidP="001934A5">
      <w:pPr>
        <w:pStyle w:val="NoSpacing"/>
        <w:rPr>
          <w:rFonts w:ascii="Tahoma" w:hAnsi="Tahoma" w:cs="Tahoma"/>
          <w:sz w:val="20"/>
          <w:szCs w:val="20"/>
          <w:lang w:val="en-US"/>
        </w:rPr>
      </w:pPr>
      <w:r>
        <w:rPr>
          <w:rFonts w:ascii="Tahoma" w:hAnsi="Tahoma" w:cs="Tahoma"/>
          <w:sz w:val="20"/>
          <w:szCs w:val="20"/>
        </w:rPr>
        <w:t xml:space="preserve"> You must claim the full amount you are due to pay up front when claiming visa expenses.</w:t>
      </w:r>
    </w:p>
    <w:p w:rsidR="001934A5" w:rsidRPr="001934A5" w:rsidRDefault="001934A5" w:rsidP="001934A5">
      <w:pPr>
        <w:pStyle w:val="NoSpacing"/>
        <w:rPr>
          <w:rFonts w:ascii="Tahoma" w:hAnsi="Tahoma" w:cs="Tahoma"/>
          <w:sz w:val="20"/>
          <w:szCs w:val="20"/>
          <w:lang w:val="en-US"/>
        </w:rPr>
      </w:pPr>
    </w:p>
    <w:p w:rsidR="001934A5" w:rsidRPr="001934A5" w:rsidRDefault="001934A5" w:rsidP="004C70E2">
      <w:pPr>
        <w:pStyle w:val="NormalWeb"/>
        <w:rPr>
          <w:rFonts w:ascii="Tahoma" w:eastAsia="Times New Roman" w:hAnsi="Tahoma" w:cs="Tahoma"/>
          <w:sz w:val="20"/>
          <w:szCs w:val="20"/>
        </w:rPr>
      </w:pPr>
    </w:p>
    <w:p w:rsidR="00C53B46" w:rsidRPr="001934A5" w:rsidRDefault="00C53B46" w:rsidP="004C70E2">
      <w:pPr>
        <w:pStyle w:val="NormalWeb"/>
        <w:rPr>
          <w:rStyle w:val="Strong"/>
          <w:rFonts w:ascii="Tahoma" w:hAnsi="Tahoma" w:cs="Tahoma"/>
        </w:rPr>
      </w:pPr>
      <w:r w:rsidRPr="001934A5">
        <w:rPr>
          <w:rStyle w:val="Strong"/>
          <w:rFonts w:ascii="Tahoma" w:hAnsi="Tahoma" w:cs="Tahoma"/>
          <w:lang w:val="en-US"/>
        </w:rPr>
        <w:t>Flights</w:t>
      </w:r>
    </w:p>
    <w:p w:rsidR="00C53B46" w:rsidRDefault="00C53B46" w:rsidP="00C53B46">
      <w:pPr>
        <w:pStyle w:val="NormalWeb"/>
        <w:rPr>
          <w:rStyle w:val="Strong"/>
          <w:rFonts w:ascii="Tahoma" w:hAnsi="Tahoma" w:cs="Tahoma"/>
          <w:b w:val="0"/>
          <w:sz w:val="20"/>
          <w:szCs w:val="20"/>
          <w:lang w:val="en-US"/>
        </w:rPr>
      </w:pPr>
      <w:r>
        <w:rPr>
          <w:rStyle w:val="Strong"/>
          <w:rFonts w:ascii="Tahoma" w:hAnsi="Tahoma" w:cs="Tahoma"/>
          <w:b w:val="0"/>
          <w:sz w:val="20"/>
          <w:szCs w:val="20"/>
          <w:lang w:val="en-US"/>
        </w:rPr>
        <w:t>The budget</w:t>
      </w:r>
      <w:r w:rsidR="00DB24CD">
        <w:rPr>
          <w:rStyle w:val="Strong"/>
          <w:rFonts w:ascii="Tahoma" w:hAnsi="Tahoma" w:cs="Tahoma"/>
          <w:b w:val="0"/>
          <w:sz w:val="20"/>
          <w:szCs w:val="20"/>
          <w:lang w:val="en-US"/>
        </w:rPr>
        <w:t xml:space="preserve"> of £2,000</w:t>
      </w:r>
      <w:r>
        <w:rPr>
          <w:rStyle w:val="Strong"/>
          <w:rFonts w:ascii="Tahoma" w:hAnsi="Tahoma" w:cs="Tahoma"/>
          <w:b w:val="0"/>
          <w:sz w:val="20"/>
          <w:szCs w:val="20"/>
          <w:lang w:val="en-US"/>
        </w:rPr>
        <w:t xml:space="preserve"> is </w:t>
      </w:r>
      <w:r w:rsidR="0017240D">
        <w:rPr>
          <w:rStyle w:val="Strong"/>
          <w:rFonts w:ascii="Tahoma" w:hAnsi="Tahoma" w:cs="Tahoma"/>
          <w:b w:val="0"/>
          <w:sz w:val="20"/>
          <w:szCs w:val="20"/>
          <w:lang w:val="en-US"/>
        </w:rPr>
        <w:t>intended</w:t>
      </w:r>
      <w:r>
        <w:rPr>
          <w:rStyle w:val="Strong"/>
          <w:rFonts w:ascii="Tahoma" w:hAnsi="Tahoma" w:cs="Tahoma"/>
          <w:b w:val="0"/>
          <w:sz w:val="20"/>
          <w:szCs w:val="20"/>
          <w:lang w:val="en-US"/>
        </w:rPr>
        <w:t xml:space="preserve"> to allow for two return flights to the United States</w:t>
      </w:r>
      <w:r w:rsidR="003D5963">
        <w:rPr>
          <w:rStyle w:val="Strong"/>
          <w:rFonts w:ascii="Tahoma" w:hAnsi="Tahoma" w:cs="Tahoma"/>
          <w:b w:val="0"/>
          <w:sz w:val="20"/>
          <w:szCs w:val="20"/>
          <w:lang w:val="en-US"/>
        </w:rPr>
        <w:t xml:space="preserve"> including travel to and from airports.</w:t>
      </w:r>
      <w:r>
        <w:rPr>
          <w:rStyle w:val="Strong"/>
          <w:rFonts w:ascii="Tahoma" w:hAnsi="Tahoma" w:cs="Tahoma"/>
          <w:b w:val="0"/>
          <w:sz w:val="20"/>
          <w:szCs w:val="20"/>
          <w:lang w:val="en-US"/>
        </w:rPr>
        <w:t xml:space="preserve"> It is expected students will use these to visit home, do EMS, or both at the same time.</w:t>
      </w:r>
      <w:r w:rsidR="008B7A37">
        <w:rPr>
          <w:rStyle w:val="Strong"/>
          <w:rFonts w:ascii="Tahoma" w:hAnsi="Tahoma" w:cs="Tahoma"/>
          <w:b w:val="0"/>
          <w:sz w:val="20"/>
          <w:szCs w:val="20"/>
          <w:lang w:val="en-US"/>
        </w:rPr>
        <w:t xml:space="preserve"> Postgraduate students are allowed one return flight.</w:t>
      </w:r>
    </w:p>
    <w:p w:rsidR="00E1410F" w:rsidRDefault="00E1410F" w:rsidP="00C53B46">
      <w:pPr>
        <w:pStyle w:val="NormalWeb"/>
        <w:rPr>
          <w:rStyle w:val="Strong"/>
          <w:rFonts w:ascii="Tahoma" w:hAnsi="Tahoma" w:cs="Tahoma"/>
          <w:b w:val="0"/>
          <w:sz w:val="20"/>
          <w:szCs w:val="20"/>
          <w:lang w:val="en-US"/>
        </w:rPr>
      </w:pPr>
    </w:p>
    <w:p w:rsidR="00E1410F" w:rsidRDefault="00E1410F" w:rsidP="00C53B46">
      <w:pPr>
        <w:pStyle w:val="NormalWeb"/>
        <w:rPr>
          <w:rStyle w:val="Strong"/>
          <w:rFonts w:ascii="Tahoma" w:hAnsi="Tahoma" w:cs="Tahoma"/>
          <w:b w:val="0"/>
          <w:sz w:val="20"/>
          <w:szCs w:val="20"/>
          <w:lang w:val="en-US"/>
        </w:rPr>
      </w:pPr>
      <w:r>
        <w:rPr>
          <w:rStyle w:val="Strong"/>
          <w:rFonts w:ascii="Tahoma" w:hAnsi="Tahoma" w:cs="Tahoma"/>
          <w:b w:val="0"/>
          <w:sz w:val="20"/>
          <w:szCs w:val="20"/>
          <w:lang w:val="en-US"/>
        </w:rPr>
        <w:t>If your planned flights are more expensive please indicate why, including where and when you are going. We can then consider extending your budget.</w:t>
      </w:r>
    </w:p>
    <w:p w:rsidR="00C53B46" w:rsidRPr="00472912" w:rsidRDefault="00C53B46" w:rsidP="00C53B46">
      <w:pPr>
        <w:pStyle w:val="NormalWeb"/>
        <w:rPr>
          <w:rStyle w:val="Strong"/>
          <w:rFonts w:ascii="Tahoma" w:hAnsi="Tahoma" w:cs="Tahoma"/>
          <w:b w:val="0"/>
          <w:sz w:val="20"/>
          <w:szCs w:val="20"/>
          <w:lang w:val="en-US"/>
        </w:rPr>
      </w:pPr>
    </w:p>
    <w:p w:rsidR="006F4317" w:rsidRPr="00C53B46" w:rsidRDefault="006F4317" w:rsidP="00C53B46">
      <w:pPr>
        <w:pStyle w:val="NoSpacing"/>
        <w:rPr>
          <w:rFonts w:ascii="Tahoma" w:hAnsi="Tahoma" w:cs="Tahoma"/>
          <w:sz w:val="20"/>
          <w:szCs w:val="20"/>
        </w:rPr>
      </w:pPr>
    </w:p>
    <w:p w:rsidR="001934A5" w:rsidRPr="001934A5" w:rsidRDefault="001934A5" w:rsidP="001934A5">
      <w:pPr>
        <w:pStyle w:val="NormalWeb"/>
        <w:rPr>
          <w:rStyle w:val="Strong"/>
          <w:rFonts w:ascii="Tahoma" w:hAnsi="Tahoma" w:cs="Tahoma"/>
        </w:rPr>
      </w:pPr>
      <w:r w:rsidRPr="001934A5">
        <w:rPr>
          <w:rStyle w:val="Strong"/>
          <w:rFonts w:ascii="Tahoma" w:hAnsi="Tahoma" w:cs="Tahoma"/>
          <w:lang w:val="en-US"/>
        </w:rPr>
        <w:t>Tuition Fees</w:t>
      </w:r>
    </w:p>
    <w:p w:rsidR="001934A5" w:rsidRDefault="001934A5" w:rsidP="001934A5">
      <w:pPr>
        <w:pStyle w:val="NormalWeb"/>
        <w:rPr>
          <w:rFonts w:ascii="Tahoma" w:hAnsi="Tahoma" w:cs="Tahoma"/>
          <w:sz w:val="20"/>
          <w:szCs w:val="20"/>
          <w:lang w:val="en-US"/>
        </w:rPr>
      </w:pPr>
      <w:r w:rsidRPr="001934A5">
        <w:rPr>
          <w:rFonts w:ascii="Tahoma" w:hAnsi="Tahoma" w:cs="Tahoma"/>
          <w:sz w:val="20"/>
          <w:szCs w:val="20"/>
          <w:lang w:val="en-US"/>
        </w:rPr>
        <w:t>The COA Calculator generates your tuition fee based on the course you select</w:t>
      </w:r>
      <w:r w:rsidR="001F3D82">
        <w:rPr>
          <w:rFonts w:ascii="Tahoma" w:hAnsi="Tahoma" w:cs="Tahoma"/>
          <w:sz w:val="20"/>
          <w:szCs w:val="20"/>
          <w:lang w:val="en-US"/>
        </w:rPr>
        <w:t xml:space="preserve"> and (for degree programs) academic year on starting the course</w:t>
      </w:r>
      <w:r w:rsidRPr="001934A5">
        <w:rPr>
          <w:rFonts w:ascii="Tahoma" w:hAnsi="Tahoma" w:cs="Tahoma"/>
          <w:sz w:val="20"/>
          <w:szCs w:val="20"/>
          <w:lang w:val="en-US"/>
        </w:rPr>
        <w:t xml:space="preserve">. </w:t>
      </w:r>
    </w:p>
    <w:p w:rsidR="001F3D82" w:rsidRPr="001934A5" w:rsidRDefault="001F3D82" w:rsidP="001934A5">
      <w:pPr>
        <w:pStyle w:val="NormalWeb"/>
        <w:rPr>
          <w:rFonts w:ascii="Tahoma" w:hAnsi="Tahoma" w:cs="Tahoma"/>
          <w:sz w:val="22"/>
          <w:szCs w:val="22"/>
          <w:lang w:val="en-US"/>
        </w:rPr>
      </w:pPr>
    </w:p>
    <w:p w:rsidR="001934A5" w:rsidRDefault="001934A5" w:rsidP="001934A5">
      <w:pPr>
        <w:pStyle w:val="NormalWeb"/>
        <w:rPr>
          <w:rFonts w:ascii="Tahoma" w:hAnsi="Tahoma" w:cs="Tahoma"/>
          <w:sz w:val="20"/>
          <w:szCs w:val="20"/>
          <w:lang w:val="en-US"/>
        </w:rPr>
      </w:pPr>
      <w:r w:rsidRPr="001934A5">
        <w:rPr>
          <w:rFonts w:ascii="Tahoma" w:hAnsi="Tahoma" w:cs="Tahoma"/>
          <w:sz w:val="20"/>
          <w:szCs w:val="20"/>
          <w:lang w:val="en-US"/>
        </w:rPr>
        <w:t>If you are a new student, the amount shown is your total tuition fee, including the deposit that you have already paid.</w:t>
      </w:r>
    </w:p>
    <w:p w:rsidR="000B73F4" w:rsidRDefault="000B73F4" w:rsidP="001934A5">
      <w:pPr>
        <w:pStyle w:val="NormalWeb"/>
        <w:rPr>
          <w:rFonts w:ascii="Tahoma" w:hAnsi="Tahoma" w:cs="Tahoma"/>
          <w:sz w:val="20"/>
          <w:szCs w:val="20"/>
          <w:lang w:val="en-US"/>
        </w:rPr>
      </w:pPr>
    </w:p>
    <w:p w:rsidR="000B73F4" w:rsidRPr="001934A5" w:rsidRDefault="002B352A" w:rsidP="001934A5">
      <w:pPr>
        <w:pStyle w:val="NormalWeb"/>
        <w:rPr>
          <w:rFonts w:ascii="Tahoma" w:hAnsi="Tahoma" w:cs="Tahoma"/>
          <w:sz w:val="20"/>
          <w:szCs w:val="20"/>
          <w:lang w:val="en-US"/>
        </w:rPr>
      </w:pPr>
      <w:hyperlink r:id="rId9" w:anchor="panel-tuition-fee-collection" w:history="1">
        <w:r w:rsidR="000B73F4" w:rsidRPr="000B73F4">
          <w:rPr>
            <w:rStyle w:val="Hyperlink"/>
            <w:rFonts w:ascii="Tahoma" w:hAnsi="Tahoma" w:cs="Tahoma"/>
            <w:sz w:val="20"/>
            <w:szCs w:val="20"/>
            <w:lang w:val="en-US"/>
          </w:rPr>
          <w:t>More information on Tuition Fees</w:t>
        </w:r>
      </w:hyperlink>
      <w:r w:rsidR="000B73F4">
        <w:rPr>
          <w:rFonts w:ascii="Tahoma" w:hAnsi="Tahoma" w:cs="Tahoma"/>
          <w:sz w:val="20"/>
          <w:szCs w:val="20"/>
          <w:lang w:val="en-US"/>
        </w:rPr>
        <w:t>.</w:t>
      </w:r>
    </w:p>
    <w:p w:rsidR="001934A5" w:rsidRDefault="001934A5" w:rsidP="001934A5">
      <w:pPr>
        <w:pStyle w:val="NormalWeb"/>
        <w:rPr>
          <w:rFonts w:ascii="Tahoma" w:hAnsi="Tahoma" w:cs="Tahoma"/>
          <w:color w:val="1F497D"/>
          <w:sz w:val="22"/>
          <w:szCs w:val="22"/>
          <w:lang w:val="en-US"/>
        </w:rPr>
      </w:pPr>
    </w:p>
    <w:p w:rsidR="001934A5" w:rsidRPr="001934A5" w:rsidRDefault="001934A5" w:rsidP="001934A5">
      <w:pPr>
        <w:pStyle w:val="NormalWeb"/>
        <w:rPr>
          <w:rStyle w:val="Strong"/>
          <w:rFonts w:ascii="Tahoma" w:hAnsi="Tahoma" w:cs="Tahoma"/>
        </w:rPr>
      </w:pPr>
      <w:r>
        <w:rPr>
          <w:rStyle w:val="Strong"/>
          <w:rFonts w:ascii="Tahoma" w:hAnsi="Tahoma" w:cs="Tahoma"/>
          <w:lang w:val="en-US"/>
        </w:rPr>
        <w:t>Course Related Costs</w:t>
      </w:r>
    </w:p>
    <w:p w:rsidR="001934A5" w:rsidRDefault="00A64CC8" w:rsidP="001934A5">
      <w:pPr>
        <w:pStyle w:val="NormalWeb"/>
        <w:rPr>
          <w:rFonts w:ascii="Tahoma" w:hAnsi="Tahoma" w:cs="Tahoma"/>
          <w:sz w:val="20"/>
          <w:szCs w:val="20"/>
          <w:lang w:val="en-US"/>
        </w:rPr>
      </w:pPr>
      <w:r>
        <w:rPr>
          <w:rFonts w:ascii="Tahoma" w:hAnsi="Tahoma" w:cs="Tahoma"/>
          <w:sz w:val="20"/>
          <w:szCs w:val="20"/>
          <w:lang w:val="en-US"/>
        </w:rPr>
        <w:t xml:space="preserve">These include books, computers and peripherals, equipment, etc. </w:t>
      </w:r>
      <w:r w:rsidRPr="00735C09">
        <w:rPr>
          <w:rFonts w:ascii="Tahoma" w:hAnsi="Tahoma" w:cs="Tahoma"/>
          <w:b/>
          <w:i/>
          <w:sz w:val="20"/>
          <w:szCs w:val="20"/>
          <w:lang w:val="en-US"/>
        </w:rPr>
        <w:t>It also includes an allowance for AHEMS and EMS costs, including buying and running a car during clinical years and extra accommodation costs.</w:t>
      </w:r>
    </w:p>
    <w:p w:rsidR="00A64CC8" w:rsidRDefault="00A64CC8" w:rsidP="001934A5">
      <w:pPr>
        <w:pStyle w:val="NormalWeb"/>
        <w:rPr>
          <w:rFonts w:ascii="Tahoma" w:hAnsi="Tahoma" w:cs="Tahoma"/>
          <w:sz w:val="20"/>
          <w:szCs w:val="20"/>
          <w:lang w:val="en-US"/>
        </w:rPr>
      </w:pPr>
    </w:p>
    <w:p w:rsidR="00BC58C9" w:rsidRDefault="00BC58C9" w:rsidP="001934A5">
      <w:pPr>
        <w:pStyle w:val="NormalWeb"/>
        <w:rPr>
          <w:rFonts w:ascii="Tahoma" w:hAnsi="Tahoma" w:cs="Tahoma"/>
          <w:sz w:val="20"/>
          <w:szCs w:val="20"/>
          <w:lang w:val="en-US"/>
        </w:rPr>
      </w:pPr>
      <w:r>
        <w:rPr>
          <w:rFonts w:ascii="Tahoma" w:hAnsi="Tahoma" w:cs="Tahoma"/>
          <w:sz w:val="20"/>
          <w:szCs w:val="20"/>
          <w:lang w:val="en-US"/>
        </w:rPr>
        <w:t xml:space="preserve">BVetMed </w:t>
      </w:r>
      <w:r w:rsidR="00735C09">
        <w:rPr>
          <w:rFonts w:ascii="Tahoma" w:hAnsi="Tahoma" w:cs="Tahoma"/>
          <w:sz w:val="20"/>
          <w:szCs w:val="20"/>
          <w:lang w:val="en-US"/>
        </w:rPr>
        <w:t>Clinical</w:t>
      </w:r>
      <w:r>
        <w:rPr>
          <w:rFonts w:ascii="Tahoma" w:hAnsi="Tahoma" w:cs="Tahoma"/>
          <w:sz w:val="20"/>
          <w:szCs w:val="20"/>
          <w:lang w:val="en-US"/>
        </w:rPr>
        <w:t xml:space="preserve"> Years - £</w:t>
      </w:r>
      <w:r w:rsidR="00735C09">
        <w:rPr>
          <w:rFonts w:ascii="Tahoma" w:hAnsi="Tahoma" w:cs="Tahoma"/>
          <w:sz w:val="20"/>
          <w:szCs w:val="20"/>
          <w:lang w:val="en-US"/>
        </w:rPr>
        <w:t>5,304</w:t>
      </w:r>
    </w:p>
    <w:p w:rsidR="00BC58C9" w:rsidRPr="001934A5" w:rsidRDefault="00BC58C9" w:rsidP="001934A5">
      <w:pPr>
        <w:pStyle w:val="NormalWeb"/>
        <w:rPr>
          <w:rFonts w:ascii="Tahoma" w:hAnsi="Tahoma" w:cs="Tahoma"/>
          <w:sz w:val="20"/>
          <w:szCs w:val="20"/>
          <w:lang w:val="en-US"/>
        </w:rPr>
      </w:pPr>
      <w:r>
        <w:rPr>
          <w:rFonts w:ascii="Tahoma" w:hAnsi="Tahoma" w:cs="Tahoma"/>
          <w:sz w:val="20"/>
          <w:szCs w:val="20"/>
          <w:lang w:val="en-US"/>
        </w:rPr>
        <w:t>Other course years – Between £1,</w:t>
      </w:r>
      <w:r w:rsidR="00735C09">
        <w:rPr>
          <w:rFonts w:ascii="Tahoma" w:hAnsi="Tahoma" w:cs="Tahoma"/>
          <w:sz w:val="20"/>
          <w:szCs w:val="20"/>
          <w:lang w:val="en-US"/>
        </w:rPr>
        <w:t>938</w:t>
      </w:r>
      <w:r>
        <w:rPr>
          <w:rFonts w:ascii="Tahoma" w:hAnsi="Tahoma" w:cs="Tahoma"/>
          <w:sz w:val="20"/>
          <w:szCs w:val="20"/>
          <w:lang w:val="en-US"/>
        </w:rPr>
        <w:t xml:space="preserve"> and £</w:t>
      </w:r>
      <w:r w:rsidR="00735C09">
        <w:rPr>
          <w:rFonts w:ascii="Tahoma" w:hAnsi="Tahoma" w:cs="Tahoma"/>
          <w:sz w:val="20"/>
          <w:szCs w:val="20"/>
          <w:lang w:val="en-US"/>
        </w:rPr>
        <w:t>2,040</w:t>
      </w:r>
      <w:r>
        <w:rPr>
          <w:rFonts w:ascii="Tahoma" w:hAnsi="Tahoma" w:cs="Tahoma"/>
          <w:sz w:val="20"/>
          <w:szCs w:val="20"/>
          <w:lang w:val="en-US"/>
        </w:rPr>
        <w:t>.</w:t>
      </w:r>
    </w:p>
    <w:p w:rsidR="001934A5" w:rsidRPr="007F1101" w:rsidRDefault="001934A5" w:rsidP="001934A5">
      <w:pPr>
        <w:pStyle w:val="NormalWeb"/>
        <w:rPr>
          <w:rFonts w:ascii="Tahoma" w:hAnsi="Tahoma" w:cs="Tahoma"/>
          <w:color w:val="1F497D"/>
          <w:sz w:val="22"/>
          <w:szCs w:val="22"/>
          <w:lang w:val="en-US"/>
        </w:rPr>
      </w:pPr>
    </w:p>
    <w:p w:rsidR="00BA7D07" w:rsidRPr="00BA7D07" w:rsidRDefault="00BA7D07" w:rsidP="00BA7D07">
      <w:pPr>
        <w:rPr>
          <w:rFonts w:ascii="Tahoma" w:hAnsi="Tahoma" w:cs="Tahoma"/>
          <w:b/>
          <w:sz w:val="20"/>
          <w:szCs w:val="20"/>
        </w:rPr>
      </w:pPr>
      <w:r w:rsidRPr="00BA7D07">
        <w:rPr>
          <w:rFonts w:ascii="Tahoma" w:hAnsi="Tahoma" w:cs="Tahoma"/>
          <w:b/>
          <w:sz w:val="20"/>
          <w:szCs w:val="20"/>
        </w:rPr>
        <w:t>NAVLE</w:t>
      </w:r>
    </w:p>
    <w:p w:rsidR="00BA7D07" w:rsidRPr="00BA7D07" w:rsidRDefault="00BA7D07" w:rsidP="00BA7D07">
      <w:pPr>
        <w:rPr>
          <w:rFonts w:ascii="Tahoma" w:hAnsi="Tahoma" w:cs="Tahoma"/>
          <w:sz w:val="20"/>
          <w:szCs w:val="20"/>
        </w:rPr>
      </w:pPr>
      <w:r w:rsidRPr="00BA7D07">
        <w:rPr>
          <w:rFonts w:ascii="Tahoma" w:hAnsi="Tahoma" w:cs="Tahoma"/>
          <w:sz w:val="20"/>
          <w:szCs w:val="20"/>
        </w:rPr>
        <w:t>The NAVLE application fee is $</w:t>
      </w:r>
      <w:r w:rsidR="00D5143B">
        <w:rPr>
          <w:rFonts w:ascii="Tahoma" w:hAnsi="Tahoma" w:cs="Tahoma"/>
          <w:sz w:val="20"/>
          <w:szCs w:val="20"/>
        </w:rPr>
        <w:t>6</w:t>
      </w:r>
      <w:r w:rsidR="00B301B2">
        <w:rPr>
          <w:rFonts w:ascii="Tahoma" w:hAnsi="Tahoma" w:cs="Tahoma"/>
          <w:sz w:val="20"/>
          <w:szCs w:val="20"/>
        </w:rPr>
        <w:t>70</w:t>
      </w:r>
      <w:r w:rsidRPr="00BA7D07">
        <w:rPr>
          <w:rFonts w:ascii="Tahoma" w:hAnsi="Tahoma" w:cs="Tahoma"/>
          <w:sz w:val="20"/>
          <w:szCs w:val="20"/>
        </w:rPr>
        <w:t xml:space="preserve"> U.S.D. There is an additional fee of $</w:t>
      </w:r>
      <w:r w:rsidR="00B43347">
        <w:rPr>
          <w:rFonts w:ascii="Tahoma" w:hAnsi="Tahoma" w:cs="Tahoma"/>
          <w:sz w:val="20"/>
          <w:szCs w:val="20"/>
        </w:rPr>
        <w:t>3</w:t>
      </w:r>
      <w:r w:rsidR="00B301B2">
        <w:rPr>
          <w:rFonts w:ascii="Tahoma" w:hAnsi="Tahoma" w:cs="Tahoma"/>
          <w:sz w:val="20"/>
          <w:szCs w:val="20"/>
        </w:rPr>
        <w:t>2</w:t>
      </w:r>
      <w:r w:rsidR="00D5143B">
        <w:rPr>
          <w:rFonts w:ascii="Tahoma" w:hAnsi="Tahoma" w:cs="Tahoma"/>
          <w:sz w:val="20"/>
          <w:szCs w:val="20"/>
        </w:rPr>
        <w:t>0</w:t>
      </w:r>
      <w:r w:rsidRPr="00BA7D07">
        <w:rPr>
          <w:rFonts w:ascii="Tahoma" w:hAnsi="Tahoma" w:cs="Tahoma"/>
          <w:sz w:val="20"/>
          <w:szCs w:val="20"/>
        </w:rPr>
        <w:t xml:space="preserve"> for overseas testing.</w:t>
      </w:r>
    </w:p>
    <w:p w:rsidR="00BA7D07" w:rsidRPr="00BA7D07" w:rsidRDefault="00BA7D07" w:rsidP="00BA7D07">
      <w:pPr>
        <w:rPr>
          <w:rFonts w:ascii="Tahoma" w:hAnsi="Tahoma" w:cs="Tahoma"/>
          <w:sz w:val="20"/>
          <w:szCs w:val="20"/>
        </w:rPr>
      </w:pPr>
    </w:p>
    <w:p w:rsidR="00BA7D07" w:rsidRPr="00BA7D07" w:rsidRDefault="00BA7D07" w:rsidP="00BA7D07">
      <w:pPr>
        <w:rPr>
          <w:rFonts w:ascii="Tahoma" w:hAnsi="Tahoma" w:cs="Tahoma"/>
          <w:sz w:val="20"/>
          <w:szCs w:val="20"/>
        </w:rPr>
      </w:pPr>
      <w:r w:rsidRPr="00BA7D07">
        <w:rPr>
          <w:rFonts w:ascii="Tahoma" w:hAnsi="Tahoma" w:cs="Tahoma"/>
          <w:sz w:val="20"/>
          <w:szCs w:val="20"/>
        </w:rPr>
        <w:t>Applicants applying online through NAVLE to the following states will also be required to pay a $5</w:t>
      </w:r>
      <w:r w:rsidR="00B43347">
        <w:rPr>
          <w:rFonts w:ascii="Tahoma" w:hAnsi="Tahoma" w:cs="Tahoma"/>
          <w:sz w:val="20"/>
          <w:szCs w:val="20"/>
        </w:rPr>
        <w:t>5</w:t>
      </w:r>
      <w:r w:rsidRPr="00BA7D07">
        <w:rPr>
          <w:rFonts w:ascii="Tahoma" w:hAnsi="Tahoma" w:cs="Tahoma"/>
          <w:sz w:val="20"/>
          <w:szCs w:val="20"/>
        </w:rPr>
        <w:t xml:space="preserve"> state application fee: </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Arizona</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Colorado</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lastRenderedPageBreak/>
        <w:t>Connecticut</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Florida</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Georgia</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Idaho</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Indiana</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Iowa</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Maine</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Maryland</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Michigan</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Minnesota</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Montana</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Nebraska</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Nevada</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New Hampshire</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New Jersey</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New York</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North Carolina</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Oregon</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Pennsylvania</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Rhode Island</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South Carolina</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South Dakota</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Texas</w:t>
      </w:r>
    </w:p>
    <w:p w:rsidR="00BA7D07" w:rsidRP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Utah</w:t>
      </w:r>
    </w:p>
    <w:p w:rsidR="00BA7D07"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Vermont</w:t>
      </w:r>
    </w:p>
    <w:p w:rsidR="001934A5" w:rsidRDefault="00BA7D07" w:rsidP="00BA7D07">
      <w:pPr>
        <w:pStyle w:val="ListParagraph"/>
        <w:numPr>
          <w:ilvl w:val="0"/>
          <w:numId w:val="2"/>
        </w:numPr>
        <w:rPr>
          <w:rFonts w:ascii="Tahoma" w:hAnsi="Tahoma" w:cs="Tahoma"/>
          <w:sz w:val="20"/>
          <w:szCs w:val="20"/>
        </w:rPr>
      </w:pPr>
      <w:r w:rsidRPr="00BA7D07">
        <w:rPr>
          <w:rFonts w:ascii="Tahoma" w:hAnsi="Tahoma" w:cs="Tahoma"/>
          <w:sz w:val="20"/>
          <w:szCs w:val="20"/>
        </w:rPr>
        <w:t>Virginia</w:t>
      </w:r>
    </w:p>
    <w:p w:rsidR="005947AD" w:rsidRDefault="005947AD" w:rsidP="005947AD">
      <w:pPr>
        <w:rPr>
          <w:rFonts w:ascii="Tahoma" w:hAnsi="Tahoma" w:cs="Tahoma"/>
          <w:sz w:val="20"/>
          <w:szCs w:val="20"/>
        </w:rPr>
      </w:pPr>
    </w:p>
    <w:p w:rsidR="00D5143B" w:rsidRDefault="00D5143B" w:rsidP="005947AD">
      <w:pPr>
        <w:rPr>
          <w:rFonts w:ascii="Tahoma" w:hAnsi="Tahoma" w:cs="Tahoma"/>
          <w:sz w:val="20"/>
          <w:szCs w:val="20"/>
        </w:rPr>
      </w:pPr>
      <w:r>
        <w:rPr>
          <w:rFonts w:ascii="Tahoma" w:hAnsi="Tahoma" w:cs="Tahoma"/>
          <w:sz w:val="20"/>
          <w:szCs w:val="20"/>
        </w:rPr>
        <w:t>The (potential) total is $</w:t>
      </w:r>
      <w:r w:rsidR="00B301B2">
        <w:rPr>
          <w:rFonts w:ascii="Tahoma" w:hAnsi="Tahoma" w:cs="Tahoma"/>
          <w:sz w:val="20"/>
          <w:szCs w:val="20"/>
        </w:rPr>
        <w:t>1,045</w:t>
      </w:r>
      <w:r>
        <w:rPr>
          <w:rFonts w:ascii="Tahoma" w:hAnsi="Tahoma" w:cs="Tahoma"/>
          <w:sz w:val="20"/>
          <w:szCs w:val="20"/>
        </w:rPr>
        <w:t>.</w:t>
      </w:r>
    </w:p>
    <w:p w:rsidR="00D5143B" w:rsidRDefault="00D5143B" w:rsidP="005947AD">
      <w:pPr>
        <w:rPr>
          <w:rFonts w:ascii="Tahoma" w:hAnsi="Tahoma" w:cs="Tahoma"/>
          <w:sz w:val="20"/>
          <w:szCs w:val="20"/>
        </w:rPr>
      </w:pPr>
    </w:p>
    <w:p w:rsidR="006E54DB" w:rsidRDefault="006E54DB" w:rsidP="005947AD">
      <w:pPr>
        <w:rPr>
          <w:rFonts w:ascii="Tahoma" w:hAnsi="Tahoma" w:cs="Tahoma"/>
          <w:sz w:val="20"/>
          <w:szCs w:val="20"/>
        </w:rPr>
      </w:pPr>
    </w:p>
    <w:p w:rsidR="00C21CF6" w:rsidRPr="006E54DB" w:rsidRDefault="006E54DB" w:rsidP="006E54DB">
      <w:pPr>
        <w:tabs>
          <w:tab w:val="left" w:pos="3765"/>
        </w:tabs>
        <w:rPr>
          <w:rFonts w:ascii="Tahoma" w:hAnsi="Tahoma" w:cs="Tahoma"/>
          <w:sz w:val="20"/>
          <w:szCs w:val="20"/>
        </w:rPr>
      </w:pPr>
      <w:bookmarkStart w:id="0" w:name="_GoBack"/>
      <w:bookmarkEnd w:id="0"/>
      <w:r>
        <w:rPr>
          <w:rFonts w:ascii="Tahoma" w:hAnsi="Tahoma" w:cs="Tahoma"/>
          <w:sz w:val="20"/>
          <w:szCs w:val="20"/>
        </w:rPr>
        <w:tab/>
      </w:r>
    </w:p>
    <w:sectPr w:rsidR="00C21CF6" w:rsidRPr="006E54D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E08" w:rsidRDefault="00484E08" w:rsidP="00DB4457">
      <w:r>
        <w:separator/>
      </w:r>
    </w:p>
  </w:endnote>
  <w:endnote w:type="continuationSeparator" w:id="0">
    <w:p w:rsidR="00484E08" w:rsidRDefault="00484E08" w:rsidP="00DB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08" w:rsidRPr="00774C27" w:rsidRDefault="00484E08" w:rsidP="00DB4457">
    <w:pPr>
      <w:pStyle w:val="Footer"/>
      <w:rPr>
        <w:rFonts w:ascii="Tahoma" w:hAnsi="Tahoma" w:cs="Tahoma"/>
        <w:sz w:val="20"/>
        <w:szCs w:val="20"/>
      </w:rPr>
    </w:pPr>
    <w:r w:rsidRPr="00774C27">
      <w:rPr>
        <w:rFonts w:ascii="Tahoma" w:hAnsi="Tahoma" w:cs="Tahoma"/>
        <w:noProof/>
        <w:sz w:val="20"/>
        <w:szCs w:val="20"/>
      </w:rPr>
      <mc:AlternateContent>
        <mc:Choice Requires="wps">
          <w:drawing>
            <wp:anchor distT="0" distB="0" distL="114300" distR="114300" simplePos="0" relativeHeight="251659264" behindDoc="0" locked="0" layoutInCell="1" allowOverlap="1" wp14:anchorId="2368EE4F" wp14:editId="0B8B0187">
              <wp:simplePos x="0" y="0"/>
              <wp:positionH relativeFrom="column">
                <wp:posOffset>28575</wp:posOffset>
              </wp:positionH>
              <wp:positionV relativeFrom="paragraph">
                <wp:posOffset>-65405</wp:posOffset>
              </wp:positionV>
              <wp:extent cx="5743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43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2F4ACF"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5.15pt" to="45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" strokecolor="black [3213]" strokeweight="1pt"/>
          </w:pict>
        </mc:Fallback>
      </mc:AlternateContent>
    </w:r>
    <w:r w:rsidRPr="00774C27">
      <w:rPr>
        <w:rFonts w:ascii="Tahoma" w:hAnsi="Tahoma" w:cs="Tahoma"/>
        <w:noProof/>
        <w:sz w:val="20"/>
        <w:szCs w:val="20"/>
      </w:rPr>
      <w:fldChar w:fldCharType="begin"/>
    </w:r>
    <w:r w:rsidRPr="00774C27">
      <w:rPr>
        <w:rFonts w:ascii="Tahoma" w:hAnsi="Tahoma" w:cs="Tahoma"/>
        <w:noProof/>
        <w:sz w:val="20"/>
        <w:szCs w:val="20"/>
      </w:rPr>
      <w:instrText xml:space="preserve"> FILENAME  \* Caps  \* MERGEFORMAT </w:instrText>
    </w:r>
    <w:r w:rsidRPr="00774C27">
      <w:rPr>
        <w:rFonts w:ascii="Tahoma" w:hAnsi="Tahoma" w:cs="Tahoma"/>
        <w:noProof/>
        <w:sz w:val="20"/>
        <w:szCs w:val="20"/>
      </w:rPr>
      <w:fldChar w:fldCharType="separate"/>
    </w:r>
    <w:r w:rsidR="00735C09">
      <w:rPr>
        <w:rFonts w:ascii="Tahoma" w:hAnsi="Tahoma" w:cs="Tahoma"/>
        <w:noProof/>
        <w:sz w:val="20"/>
        <w:szCs w:val="20"/>
      </w:rPr>
      <w:t>Cost-Of-Attendance-Explained-For-2019</w:t>
    </w:r>
    <w:r w:rsidRPr="00774C27">
      <w:rPr>
        <w:rFonts w:ascii="Tahoma" w:hAnsi="Tahoma" w:cs="Tahoma"/>
        <w:noProof/>
        <w:sz w:val="20"/>
        <w:szCs w:val="20"/>
      </w:rPr>
      <w:fldChar w:fldCharType="end"/>
    </w:r>
    <w:r w:rsidRPr="00774C27">
      <w:rPr>
        <w:rFonts w:ascii="Tahoma" w:hAnsi="Tahoma" w:cs="Tahoma"/>
        <w:noProof/>
        <w:sz w:val="20"/>
        <w:szCs w:val="20"/>
      </w:rPr>
      <w:t xml:space="preserve"> - </w:t>
    </w:r>
    <w:sdt>
      <w:sdtPr>
        <w:rPr>
          <w:rFonts w:ascii="Tahoma" w:hAnsi="Tahoma" w:cs="Tahoma"/>
          <w:sz w:val="20"/>
          <w:szCs w:val="20"/>
        </w:rPr>
        <w:id w:val="-1642420154"/>
        <w:docPartObj>
          <w:docPartGallery w:val="Page Numbers (Bottom of Page)"/>
          <w:docPartUnique/>
        </w:docPartObj>
      </w:sdtPr>
      <w:sdtEndPr>
        <w:rPr>
          <w:noProof/>
        </w:rPr>
      </w:sdtEndPr>
      <w:sdtContent>
        <w:r w:rsidRPr="00774C27">
          <w:rPr>
            <w:rFonts w:ascii="Tahoma" w:hAnsi="Tahoma" w:cs="Tahoma"/>
            <w:sz w:val="20"/>
            <w:szCs w:val="20"/>
          </w:rPr>
          <w:t xml:space="preserve">Page </w:t>
        </w:r>
        <w:r w:rsidRPr="00774C27">
          <w:rPr>
            <w:rFonts w:ascii="Tahoma" w:hAnsi="Tahoma" w:cs="Tahoma"/>
            <w:sz w:val="20"/>
            <w:szCs w:val="20"/>
          </w:rPr>
          <w:fldChar w:fldCharType="begin"/>
        </w:r>
        <w:r w:rsidRPr="00774C27">
          <w:rPr>
            <w:rFonts w:ascii="Tahoma" w:hAnsi="Tahoma" w:cs="Tahoma"/>
            <w:sz w:val="20"/>
            <w:szCs w:val="20"/>
          </w:rPr>
          <w:instrText xml:space="preserve"> PAGE   \* MERGEFORMAT </w:instrText>
        </w:r>
        <w:r w:rsidRPr="00774C27">
          <w:rPr>
            <w:rFonts w:ascii="Tahoma" w:hAnsi="Tahoma" w:cs="Tahoma"/>
            <w:sz w:val="20"/>
            <w:szCs w:val="20"/>
          </w:rPr>
          <w:fldChar w:fldCharType="separate"/>
        </w:r>
        <w:r w:rsidR="002B352A">
          <w:rPr>
            <w:rFonts w:ascii="Tahoma" w:hAnsi="Tahoma" w:cs="Tahoma"/>
            <w:noProof/>
            <w:sz w:val="20"/>
            <w:szCs w:val="20"/>
          </w:rPr>
          <w:t>5</w:t>
        </w:r>
        <w:r w:rsidRPr="00774C27">
          <w:rPr>
            <w:rFonts w:ascii="Tahoma" w:hAnsi="Tahoma" w:cs="Tahoma"/>
            <w:noProof/>
            <w:sz w:val="20"/>
            <w:szCs w:val="20"/>
          </w:rPr>
          <w:fldChar w:fldCharType="end"/>
        </w:r>
        <w:r w:rsidRPr="00774C27">
          <w:rPr>
            <w:rFonts w:ascii="Tahoma" w:hAnsi="Tahoma" w:cs="Tahoma"/>
            <w:noProof/>
            <w:sz w:val="20"/>
            <w:szCs w:val="20"/>
          </w:rPr>
          <w:t xml:space="preserve"> of </w:t>
        </w:r>
      </w:sdtContent>
    </w:sdt>
    <w:r w:rsidRPr="00774C27">
      <w:rPr>
        <w:rFonts w:ascii="Tahoma" w:hAnsi="Tahoma" w:cs="Tahoma"/>
        <w:noProof/>
        <w:sz w:val="20"/>
        <w:szCs w:val="20"/>
      </w:rPr>
      <w:fldChar w:fldCharType="begin"/>
    </w:r>
    <w:r w:rsidRPr="00774C27">
      <w:rPr>
        <w:rFonts w:ascii="Tahoma" w:hAnsi="Tahoma" w:cs="Tahoma"/>
        <w:noProof/>
        <w:sz w:val="20"/>
        <w:szCs w:val="20"/>
      </w:rPr>
      <w:instrText xml:space="preserve"> NUMPAGES   \* MERGEFORMAT </w:instrText>
    </w:r>
    <w:r w:rsidRPr="00774C27">
      <w:rPr>
        <w:rFonts w:ascii="Tahoma" w:hAnsi="Tahoma" w:cs="Tahoma"/>
        <w:noProof/>
        <w:sz w:val="20"/>
        <w:szCs w:val="20"/>
      </w:rPr>
      <w:fldChar w:fldCharType="separate"/>
    </w:r>
    <w:r w:rsidR="002B352A">
      <w:rPr>
        <w:rFonts w:ascii="Tahoma" w:hAnsi="Tahoma" w:cs="Tahoma"/>
        <w:noProof/>
        <w:sz w:val="20"/>
        <w:szCs w:val="20"/>
      </w:rPr>
      <w:t>5</w:t>
    </w:r>
    <w:r w:rsidRPr="00774C27">
      <w:rPr>
        <w:rFonts w:ascii="Tahoma" w:hAnsi="Tahoma" w:cs="Tahoma"/>
        <w:noProof/>
        <w:sz w:val="20"/>
        <w:szCs w:val="20"/>
      </w:rPr>
      <w:fldChar w:fldCharType="end"/>
    </w:r>
  </w:p>
  <w:p w:rsidR="00484E08" w:rsidRDefault="00484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E08" w:rsidRDefault="00484E08" w:rsidP="00DB4457">
      <w:r>
        <w:separator/>
      </w:r>
    </w:p>
  </w:footnote>
  <w:footnote w:type="continuationSeparator" w:id="0">
    <w:p w:rsidR="00484E08" w:rsidRDefault="00484E08" w:rsidP="00DB4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06F36"/>
    <w:multiLevelType w:val="hybridMultilevel"/>
    <w:tmpl w:val="9894F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B234E4"/>
    <w:multiLevelType w:val="hybridMultilevel"/>
    <w:tmpl w:val="A57AE956"/>
    <w:lvl w:ilvl="0" w:tplc="27C6369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01"/>
    <w:rsid w:val="000215A6"/>
    <w:rsid w:val="00030DC8"/>
    <w:rsid w:val="000321E6"/>
    <w:rsid w:val="00064668"/>
    <w:rsid w:val="000833A8"/>
    <w:rsid w:val="00084BFB"/>
    <w:rsid w:val="000B73F4"/>
    <w:rsid w:val="000E0683"/>
    <w:rsid w:val="000E4C4D"/>
    <w:rsid w:val="000F7E03"/>
    <w:rsid w:val="00145B24"/>
    <w:rsid w:val="0015024D"/>
    <w:rsid w:val="00154BA2"/>
    <w:rsid w:val="0016561F"/>
    <w:rsid w:val="001710C5"/>
    <w:rsid w:val="0017240D"/>
    <w:rsid w:val="001772F5"/>
    <w:rsid w:val="00187584"/>
    <w:rsid w:val="00192705"/>
    <w:rsid w:val="001934A5"/>
    <w:rsid w:val="001D002B"/>
    <w:rsid w:val="001D2B31"/>
    <w:rsid w:val="001F3D82"/>
    <w:rsid w:val="00223F20"/>
    <w:rsid w:val="002467A9"/>
    <w:rsid w:val="0027691D"/>
    <w:rsid w:val="002859EE"/>
    <w:rsid w:val="002B352A"/>
    <w:rsid w:val="002C10DB"/>
    <w:rsid w:val="00394A47"/>
    <w:rsid w:val="003A7E55"/>
    <w:rsid w:val="003C1775"/>
    <w:rsid w:val="003D5963"/>
    <w:rsid w:val="003D79C5"/>
    <w:rsid w:val="00437C39"/>
    <w:rsid w:val="004537EF"/>
    <w:rsid w:val="00472912"/>
    <w:rsid w:val="0047491A"/>
    <w:rsid w:val="00484E08"/>
    <w:rsid w:val="00490824"/>
    <w:rsid w:val="004951B5"/>
    <w:rsid w:val="004B4BD4"/>
    <w:rsid w:val="004C02FA"/>
    <w:rsid w:val="004C3C23"/>
    <w:rsid w:val="004C70E2"/>
    <w:rsid w:val="005057F7"/>
    <w:rsid w:val="005125A9"/>
    <w:rsid w:val="00532D98"/>
    <w:rsid w:val="00540E58"/>
    <w:rsid w:val="0056013C"/>
    <w:rsid w:val="00585330"/>
    <w:rsid w:val="005947AD"/>
    <w:rsid w:val="005D549C"/>
    <w:rsid w:val="006060C2"/>
    <w:rsid w:val="00606E72"/>
    <w:rsid w:val="0060777D"/>
    <w:rsid w:val="006264CA"/>
    <w:rsid w:val="00627664"/>
    <w:rsid w:val="00673063"/>
    <w:rsid w:val="006B06B1"/>
    <w:rsid w:val="006B6726"/>
    <w:rsid w:val="006C3200"/>
    <w:rsid w:val="006D5392"/>
    <w:rsid w:val="006E54DB"/>
    <w:rsid w:val="006E676C"/>
    <w:rsid w:val="006F27EA"/>
    <w:rsid w:val="006F4317"/>
    <w:rsid w:val="00712E8B"/>
    <w:rsid w:val="00735C09"/>
    <w:rsid w:val="00755155"/>
    <w:rsid w:val="007616F2"/>
    <w:rsid w:val="00777A5B"/>
    <w:rsid w:val="007C5744"/>
    <w:rsid w:val="007E1587"/>
    <w:rsid w:val="007F1101"/>
    <w:rsid w:val="007F26B9"/>
    <w:rsid w:val="00803936"/>
    <w:rsid w:val="00860405"/>
    <w:rsid w:val="008B3276"/>
    <w:rsid w:val="008B7A37"/>
    <w:rsid w:val="008E5F96"/>
    <w:rsid w:val="00901DB9"/>
    <w:rsid w:val="00970F0E"/>
    <w:rsid w:val="009E3F12"/>
    <w:rsid w:val="009E69BA"/>
    <w:rsid w:val="009F7742"/>
    <w:rsid w:val="00A0473E"/>
    <w:rsid w:val="00A3792A"/>
    <w:rsid w:val="00A51D11"/>
    <w:rsid w:val="00A64CC8"/>
    <w:rsid w:val="00A72BAF"/>
    <w:rsid w:val="00AB10D1"/>
    <w:rsid w:val="00AC495A"/>
    <w:rsid w:val="00AF3310"/>
    <w:rsid w:val="00B301B2"/>
    <w:rsid w:val="00B43347"/>
    <w:rsid w:val="00B76510"/>
    <w:rsid w:val="00BA7D07"/>
    <w:rsid w:val="00BC2710"/>
    <w:rsid w:val="00BC58C9"/>
    <w:rsid w:val="00BD449F"/>
    <w:rsid w:val="00BE6CF0"/>
    <w:rsid w:val="00C02D4F"/>
    <w:rsid w:val="00C21CF6"/>
    <w:rsid w:val="00C40071"/>
    <w:rsid w:val="00C53B46"/>
    <w:rsid w:val="00CB3738"/>
    <w:rsid w:val="00CD2C34"/>
    <w:rsid w:val="00CF375D"/>
    <w:rsid w:val="00D5143B"/>
    <w:rsid w:val="00D63161"/>
    <w:rsid w:val="00DB24CD"/>
    <w:rsid w:val="00DB3894"/>
    <w:rsid w:val="00DB4457"/>
    <w:rsid w:val="00DD3DEF"/>
    <w:rsid w:val="00DE2C14"/>
    <w:rsid w:val="00DE5041"/>
    <w:rsid w:val="00E1410F"/>
    <w:rsid w:val="00E208BE"/>
    <w:rsid w:val="00E233B1"/>
    <w:rsid w:val="00E246BA"/>
    <w:rsid w:val="00E37C78"/>
    <w:rsid w:val="00E37FFD"/>
    <w:rsid w:val="00E6159A"/>
    <w:rsid w:val="00EB1EEC"/>
    <w:rsid w:val="00EF37AE"/>
    <w:rsid w:val="00F07833"/>
    <w:rsid w:val="00F25B6A"/>
    <w:rsid w:val="00F27215"/>
    <w:rsid w:val="00F77ABF"/>
    <w:rsid w:val="00F90B3C"/>
    <w:rsid w:val="00F95B98"/>
    <w:rsid w:val="00FA4CB4"/>
    <w:rsid w:val="00FC310C"/>
    <w:rsid w:val="00FF6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A798"/>
  <w15:docId w15:val="{A09E8441-4F7D-4404-9A73-B9691BBC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10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101"/>
    <w:pPr>
      <w:spacing w:after="0" w:line="240" w:lineRule="auto"/>
    </w:pPr>
  </w:style>
  <w:style w:type="character" w:styleId="Hyperlink">
    <w:name w:val="Hyperlink"/>
    <w:basedOn w:val="DefaultParagraphFont"/>
    <w:uiPriority w:val="99"/>
    <w:unhideWhenUsed/>
    <w:rsid w:val="007F1101"/>
    <w:rPr>
      <w:color w:val="0000FF"/>
      <w:u w:val="single"/>
    </w:rPr>
  </w:style>
  <w:style w:type="paragraph" w:styleId="NormalWeb">
    <w:name w:val="Normal (Web)"/>
    <w:basedOn w:val="Normal"/>
    <w:uiPriority w:val="99"/>
    <w:unhideWhenUsed/>
    <w:rsid w:val="007F1101"/>
  </w:style>
  <w:style w:type="character" w:styleId="Strong">
    <w:name w:val="Strong"/>
    <w:basedOn w:val="DefaultParagraphFont"/>
    <w:qFormat/>
    <w:rsid w:val="007F1101"/>
    <w:rPr>
      <w:b/>
      <w:bCs/>
    </w:rPr>
  </w:style>
  <w:style w:type="paragraph" w:styleId="BalloonText">
    <w:name w:val="Balloon Text"/>
    <w:basedOn w:val="Normal"/>
    <w:link w:val="BalloonTextChar"/>
    <w:uiPriority w:val="99"/>
    <w:semiHidden/>
    <w:unhideWhenUsed/>
    <w:rsid w:val="007F1101"/>
    <w:rPr>
      <w:rFonts w:ascii="Tahoma" w:hAnsi="Tahoma" w:cs="Tahoma"/>
      <w:sz w:val="16"/>
      <w:szCs w:val="16"/>
    </w:rPr>
  </w:style>
  <w:style w:type="character" w:customStyle="1" w:styleId="BalloonTextChar">
    <w:name w:val="Balloon Text Char"/>
    <w:basedOn w:val="DefaultParagraphFont"/>
    <w:link w:val="BalloonText"/>
    <w:uiPriority w:val="99"/>
    <w:semiHidden/>
    <w:rsid w:val="007F1101"/>
    <w:rPr>
      <w:rFonts w:ascii="Tahoma" w:hAnsi="Tahoma" w:cs="Tahoma"/>
      <w:sz w:val="16"/>
      <w:szCs w:val="16"/>
      <w:lang w:eastAsia="en-GB"/>
    </w:rPr>
  </w:style>
  <w:style w:type="paragraph" w:styleId="ListParagraph">
    <w:name w:val="List Paragraph"/>
    <w:basedOn w:val="Normal"/>
    <w:uiPriority w:val="34"/>
    <w:qFormat/>
    <w:rsid w:val="001934A5"/>
    <w:pPr>
      <w:ind w:left="720"/>
    </w:pPr>
    <w:rPr>
      <w:rFonts w:eastAsia="Times New Roman"/>
      <w:lang w:eastAsia="en-US"/>
    </w:rPr>
  </w:style>
  <w:style w:type="paragraph" w:styleId="Header">
    <w:name w:val="header"/>
    <w:basedOn w:val="Normal"/>
    <w:link w:val="HeaderChar"/>
    <w:uiPriority w:val="99"/>
    <w:unhideWhenUsed/>
    <w:rsid w:val="00DB4457"/>
    <w:pPr>
      <w:tabs>
        <w:tab w:val="center" w:pos="4513"/>
        <w:tab w:val="right" w:pos="9026"/>
      </w:tabs>
    </w:pPr>
  </w:style>
  <w:style w:type="character" w:customStyle="1" w:styleId="HeaderChar">
    <w:name w:val="Header Char"/>
    <w:basedOn w:val="DefaultParagraphFont"/>
    <w:link w:val="Header"/>
    <w:uiPriority w:val="99"/>
    <w:rsid w:val="00DB4457"/>
    <w:rPr>
      <w:rFonts w:ascii="Times New Roman" w:hAnsi="Times New Roman" w:cs="Times New Roman"/>
      <w:sz w:val="24"/>
      <w:szCs w:val="24"/>
      <w:lang w:eastAsia="en-GB"/>
    </w:rPr>
  </w:style>
  <w:style w:type="paragraph" w:styleId="Footer">
    <w:name w:val="footer"/>
    <w:basedOn w:val="Normal"/>
    <w:link w:val="FooterChar"/>
    <w:uiPriority w:val="99"/>
    <w:unhideWhenUsed/>
    <w:rsid w:val="00DB4457"/>
    <w:pPr>
      <w:tabs>
        <w:tab w:val="center" w:pos="4513"/>
        <w:tab w:val="right" w:pos="9026"/>
      </w:tabs>
    </w:pPr>
  </w:style>
  <w:style w:type="character" w:customStyle="1" w:styleId="FooterChar">
    <w:name w:val="Footer Char"/>
    <w:basedOn w:val="DefaultParagraphFont"/>
    <w:link w:val="Footer"/>
    <w:uiPriority w:val="99"/>
    <w:rsid w:val="00DB4457"/>
    <w:rPr>
      <w:rFonts w:ascii="Times New Roman" w:hAnsi="Times New Roman" w:cs="Times New Roman"/>
      <w:sz w:val="24"/>
      <w:szCs w:val="24"/>
      <w:lang w:eastAsia="en-GB"/>
    </w:rPr>
  </w:style>
  <w:style w:type="table" w:styleId="TableGrid">
    <w:name w:val="Table Grid"/>
    <w:basedOn w:val="TableNormal"/>
    <w:uiPriority w:val="59"/>
    <w:rsid w:val="004C0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6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50176">
      <w:bodyDiv w:val="1"/>
      <w:marLeft w:val="0"/>
      <w:marRight w:val="0"/>
      <w:marTop w:val="0"/>
      <w:marBottom w:val="0"/>
      <w:divBdr>
        <w:top w:val="none" w:sz="0" w:space="0" w:color="auto"/>
        <w:left w:val="none" w:sz="0" w:space="0" w:color="auto"/>
        <w:bottom w:val="none" w:sz="0" w:space="0" w:color="auto"/>
        <w:right w:val="none" w:sz="0" w:space="0" w:color="auto"/>
      </w:divBdr>
    </w:div>
    <w:div w:id="915824492">
      <w:bodyDiv w:val="1"/>
      <w:marLeft w:val="0"/>
      <w:marRight w:val="0"/>
      <w:marTop w:val="0"/>
      <w:marBottom w:val="0"/>
      <w:divBdr>
        <w:top w:val="none" w:sz="0" w:space="0" w:color="auto"/>
        <w:left w:val="none" w:sz="0" w:space="0" w:color="auto"/>
        <w:bottom w:val="none" w:sz="0" w:space="0" w:color="auto"/>
        <w:right w:val="none" w:sz="0" w:space="0" w:color="auto"/>
      </w:divBdr>
    </w:div>
    <w:div w:id="1134829040">
      <w:bodyDiv w:val="1"/>
      <w:marLeft w:val="0"/>
      <w:marRight w:val="0"/>
      <w:marTop w:val="0"/>
      <w:marBottom w:val="0"/>
      <w:divBdr>
        <w:top w:val="none" w:sz="0" w:space="0" w:color="auto"/>
        <w:left w:val="none" w:sz="0" w:space="0" w:color="auto"/>
        <w:bottom w:val="none" w:sz="0" w:space="0" w:color="auto"/>
        <w:right w:val="none" w:sz="0" w:space="0" w:color="auto"/>
      </w:divBdr>
    </w:div>
    <w:div w:id="1252622182">
      <w:bodyDiv w:val="1"/>
      <w:marLeft w:val="0"/>
      <w:marRight w:val="0"/>
      <w:marTop w:val="0"/>
      <w:marBottom w:val="0"/>
      <w:divBdr>
        <w:top w:val="none" w:sz="0" w:space="0" w:color="auto"/>
        <w:left w:val="none" w:sz="0" w:space="0" w:color="auto"/>
        <w:bottom w:val="none" w:sz="0" w:space="0" w:color="auto"/>
        <w:right w:val="none" w:sz="0" w:space="0" w:color="auto"/>
      </w:divBdr>
    </w:div>
    <w:div w:id="1382751190">
      <w:bodyDiv w:val="1"/>
      <w:marLeft w:val="0"/>
      <w:marRight w:val="0"/>
      <w:marTop w:val="0"/>
      <w:marBottom w:val="0"/>
      <w:divBdr>
        <w:top w:val="none" w:sz="0" w:space="0" w:color="auto"/>
        <w:left w:val="none" w:sz="0" w:space="0" w:color="auto"/>
        <w:bottom w:val="none" w:sz="0" w:space="0" w:color="auto"/>
        <w:right w:val="none" w:sz="0" w:space="0" w:color="auto"/>
      </w:divBdr>
    </w:div>
    <w:div w:id="1732727445">
      <w:bodyDiv w:val="1"/>
      <w:marLeft w:val="0"/>
      <w:marRight w:val="0"/>
      <w:marTop w:val="0"/>
      <w:marBottom w:val="0"/>
      <w:divBdr>
        <w:top w:val="none" w:sz="0" w:space="0" w:color="auto"/>
        <w:left w:val="none" w:sz="0" w:space="0" w:color="auto"/>
        <w:bottom w:val="none" w:sz="0" w:space="0" w:color="auto"/>
        <w:right w:val="none" w:sz="0" w:space="0" w:color="auto"/>
      </w:divBdr>
    </w:div>
    <w:div w:id="1843885537">
      <w:bodyDiv w:val="1"/>
      <w:marLeft w:val="0"/>
      <w:marRight w:val="0"/>
      <w:marTop w:val="0"/>
      <w:marBottom w:val="0"/>
      <w:divBdr>
        <w:top w:val="none" w:sz="0" w:space="0" w:color="auto"/>
        <w:left w:val="none" w:sz="0" w:space="0" w:color="auto"/>
        <w:bottom w:val="none" w:sz="0" w:space="0" w:color="auto"/>
        <w:right w:val="none" w:sz="0" w:space="0" w:color="auto"/>
      </w:divBdr>
    </w:div>
    <w:div w:id="20378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yster-rail.org.uk/fares-guide/daily-caps-and-travelcards-2019/" TargetMode="External"/><Relationship Id="rId3" Type="http://schemas.openxmlformats.org/officeDocument/2006/relationships/settings" Target="settings.xml"/><Relationship Id="rId7" Type="http://schemas.openxmlformats.org/officeDocument/2006/relationships/hyperlink" Target="http://www.rvc.ac.uk/study/fees-and-funding/funding-options/usa/fafsa/disburs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vc.ac.uk/study/fees-and-funding/funding-options/usa/fafsa/disbur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8649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Tim</dc:creator>
  <cp:lastModifiedBy>Longstaff, Zuleika</cp:lastModifiedBy>
  <cp:revision>2</cp:revision>
  <cp:lastPrinted>2017-06-26T15:25:00Z</cp:lastPrinted>
  <dcterms:created xsi:type="dcterms:W3CDTF">2019-06-26T09:32:00Z</dcterms:created>
  <dcterms:modified xsi:type="dcterms:W3CDTF">2019-06-26T09:32:00Z</dcterms:modified>
</cp:coreProperties>
</file>